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98E02" w14:textId="3C8DC959" w:rsidR="008E771A" w:rsidRPr="008E771A" w:rsidRDefault="008E771A" w:rsidP="008E771A">
      <w:pPr>
        <w:pStyle w:val="Heading2"/>
        <w:rPr>
          <w:rFonts w:eastAsia="Times New Roman"/>
          <w:lang w:val="ru-RU" w:eastAsia="en-GB"/>
        </w:rPr>
      </w:pPr>
      <w:r>
        <w:rPr>
          <w:rFonts w:eastAsia="Times New Roman"/>
          <w:lang w:val="ru-RU" w:eastAsia="en-GB"/>
        </w:rPr>
        <w:t>Техническое задание</w:t>
      </w:r>
    </w:p>
    <w:p w14:paraId="5A90172F" w14:textId="2DC6C362" w:rsidR="00C72DB2" w:rsidRPr="00C72DB2" w:rsidRDefault="008E771A" w:rsidP="008E771A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>Р</w:t>
      </w:r>
      <w:r w:rsidR="00C72DB2"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азработ</w:t>
      </w:r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>ка</w:t>
      </w:r>
      <w:r w:rsidR="00C72DB2"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 стратеги</w:t>
      </w:r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>и</w:t>
      </w:r>
      <w:r w:rsidR="00C72DB2"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 обработки спектральных данных смесей растительных масел и примени</w:t>
      </w:r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>е</w:t>
      </w:r>
      <w:r w:rsidR="00C72DB2"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 метод</w:t>
      </w:r>
      <w:proofErr w:type="spellStart"/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>ов</w:t>
      </w:r>
      <w:proofErr w:type="spellEnd"/>
      <w:r w:rsidR="00C72DB2"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 машинного обучения для классификации смеси подсолнечных и рапсовых масел и количественного определения их компонентного состава.</w:t>
      </w:r>
    </w:p>
    <w:p w14:paraId="102A1658" w14:textId="7476EBA2" w:rsidR="008E771A" w:rsidRPr="008E771A" w:rsidRDefault="008E771A" w:rsidP="008E771A">
      <w:pPr>
        <w:pStyle w:val="Heading2"/>
      </w:pPr>
      <w:r w:rsidRPr="008E771A">
        <w:t>Исходные данные к работе</w:t>
      </w:r>
    </w:p>
    <w:p w14:paraId="5D5A9F18" w14:textId="77777777" w:rsidR="008E771A" w:rsidRDefault="00C72DB2" w:rsidP="008E771A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Пищевые масла подвержены фальсификации из-за хронического дефицита и колебаний цен. Это важная проблема, поскольку фальсификация может иметь пагубные последствия для здоровья потребителей. В последние годы для аутентификации пищевых продуктов используются передовые методы, такие как ядерный магнитный резонанс (ЯМР), инфракрасная спектроскопия с преобразованием Фурье (FTIR), рамановская спектроскопия и масс-спектрометрия (МС). Эти методы позволяют получить данные высокого разрешения в сочетании с хемометрическими методами, позволяющими различать настоящие и фальсифицированные пищевые масла. </w:t>
      </w:r>
    </w:p>
    <w:p w14:paraId="64D659B0" w14:textId="3423D2CC" w:rsidR="00C72DB2" w:rsidRPr="00C72DB2" w:rsidRDefault="00C72DB2" w:rsidP="008E771A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Поскольку не существует методики ГОСТ для определения наличия рапсового масла в подсолнечном масле, актуальной оказалась разработка такой методики на основе ИК спектроскопии и хемометрической обработки данных. В качестве объектов использовались 5 разных подсолнечных масел и 5 рапсовых масел и их смеси в различном соотношении.</w:t>
      </w:r>
    </w:p>
    <w:p w14:paraId="0013BF92" w14:textId="665A8585" w:rsidR="008E771A" w:rsidRDefault="008E771A" w:rsidP="008E771A">
      <w:pPr>
        <w:pStyle w:val="Heading2"/>
        <w:rPr>
          <w:rFonts w:eastAsia="Times New Roman"/>
          <w:shd w:val="clear" w:color="auto" w:fill="FFFFFF"/>
          <w:lang w:val="ru-RU" w:eastAsia="en-GB"/>
        </w:rPr>
      </w:pPr>
      <w:r w:rsidRPr="00C72DB2">
        <w:rPr>
          <w:rFonts w:eastAsia="Times New Roman"/>
          <w:shd w:val="clear" w:color="auto" w:fill="FFFFFF"/>
          <w:lang w:eastAsia="en-GB"/>
        </w:rPr>
        <w:t>Цель работы</w:t>
      </w:r>
    </w:p>
    <w:p w14:paraId="0E3B9932" w14:textId="6B6440B8" w:rsidR="00C72DB2" w:rsidRPr="00C72DB2" w:rsidRDefault="008E771A" w:rsidP="008E771A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>Р</w:t>
      </w:r>
      <w:r w:rsidR="00C72DB2"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азвитие метода обработки спектральных данных смесей пищевых масел и применения методов машинного обучения для их классификации и определения количественного состава.</w:t>
      </w:r>
    </w:p>
    <w:p w14:paraId="1F70C7FE" w14:textId="68B48B9F" w:rsidR="00C72DB2" w:rsidRDefault="00C72DB2" w:rsidP="008E771A">
      <w:pPr>
        <w:pStyle w:val="Heading2"/>
        <w:rPr>
          <w:rFonts w:eastAsia="Times New Roman"/>
          <w:shd w:val="clear" w:color="auto" w:fill="FFFFFF"/>
          <w:lang w:eastAsia="en-GB"/>
        </w:rPr>
      </w:pPr>
      <w:r w:rsidRPr="00C72DB2">
        <w:rPr>
          <w:rFonts w:eastAsia="Times New Roman"/>
          <w:shd w:val="clear" w:color="auto" w:fill="FFFFFF"/>
          <w:lang w:eastAsia="en-GB"/>
        </w:rPr>
        <w:t>Виды работ и требования к их выполнению</w:t>
      </w:r>
    </w:p>
    <w:p w14:paraId="432F0C2E" w14:textId="77777777" w:rsidR="008E771A" w:rsidRPr="008E771A" w:rsidRDefault="008E771A" w:rsidP="008E771A">
      <w:pPr>
        <w:rPr>
          <w:lang w:eastAsia="en-GB"/>
        </w:rPr>
      </w:pPr>
    </w:p>
    <w:p w14:paraId="44B510EC" w14:textId="77777777" w:rsidR="00C72DB2" w:rsidRPr="00C72DB2" w:rsidRDefault="00C72DB2" w:rsidP="00C72DB2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1. Сбор и предобработка спектральных данных различных подсолнечных и рапсовых масел и их попарных смесей.</w:t>
      </w:r>
    </w:p>
    <w:p w14:paraId="715709AB" w14:textId="77777777" w:rsidR="00C72DB2" w:rsidRPr="00C72DB2" w:rsidRDefault="00C72DB2" w:rsidP="00C72DB2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lastRenderedPageBreak/>
        <w:t>2. Классификация ИК спектров смесей данных пищевых масел.</w:t>
      </w:r>
    </w:p>
    <w:p w14:paraId="331AE074" w14:textId="77777777" w:rsidR="00C72DB2" w:rsidRPr="00C72DB2" w:rsidRDefault="00C72DB2" w:rsidP="00C72DB2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3. Поиск алгоритмов, подходящих для количественного определения компонентов в смесях.</w:t>
      </w:r>
    </w:p>
    <w:p w14:paraId="29219B3B" w14:textId="77777777" w:rsidR="00C72DB2" w:rsidRPr="00C72DB2" w:rsidRDefault="00C72DB2" w:rsidP="00C72DB2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4. Анализ и сравнение прогнозных способности предложенных моделей.</w:t>
      </w:r>
    </w:p>
    <w:p w14:paraId="094CFF27" w14:textId="77777777" w:rsidR="00C72DB2" w:rsidRPr="00C72DB2" w:rsidRDefault="00C72DB2" w:rsidP="00C72DB2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14:paraId="540DD841" w14:textId="77777777" w:rsidR="00C72DB2" w:rsidRDefault="00C72DB2">
      <w:pP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br w:type="page"/>
      </w:r>
    </w:p>
    <w:p w14:paraId="6C4D53B1" w14:textId="6DF46684" w:rsidR="00C72DB2" w:rsidRPr="00C72DB2" w:rsidRDefault="00C72DB2" w:rsidP="008E771A">
      <w:pPr>
        <w:pStyle w:val="Heading2"/>
        <w:rPr>
          <w:rFonts w:eastAsia="Times New Roman"/>
          <w:lang w:eastAsia="en-GB"/>
        </w:rPr>
      </w:pPr>
      <w:r w:rsidRPr="00C72DB2">
        <w:rPr>
          <w:rFonts w:eastAsia="Times New Roman"/>
          <w:shd w:val="clear" w:color="auto" w:fill="FFFFFF"/>
          <w:lang w:eastAsia="en-GB"/>
        </w:rPr>
        <w:lastRenderedPageBreak/>
        <w:t>Введение</w:t>
      </w:r>
    </w:p>
    <w:p w14:paraId="6D90B0A6" w14:textId="77777777" w:rsidR="00C72DB2" w:rsidRPr="00C72DB2" w:rsidRDefault="00C72DB2" w:rsidP="00C72DB2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14:paraId="62D5BA2D" w14:textId="77777777" w:rsidR="00C72DB2" w:rsidRPr="00C72DB2" w:rsidRDefault="00C72DB2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Растительные пищевые масла являются необходимым элементов питания человека, что делает их неотъемлемой частью пищевой промышленности. В связи с хроническим дефицитом сырья для их производства в индустрии производства масел существует проблема фальсификации, заключающаяся в добавлении посторонних примесей и подмене дорогостоящих высококачественных масел более дешевыми, и даже техническими маслами. Этот факт не только нарушает установленные стандарты производства и реализации пищевой продукции, но и создает угрозу для здоровья потребителей.</w:t>
      </w:r>
    </w:p>
    <w:p w14:paraId="3C544383" w14:textId="77777777" w:rsidR="00C72DB2" w:rsidRPr="00C72DB2" w:rsidRDefault="00C72DB2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В настоящее время для установления случаев подмены масел используются передовые лабораторные методы, такие как спеткроскопия ядерного магнитного резонанса (ЯМР), рамановская спектроскопия, масс-спектроскопия (МС) и инфракрасная спектроскопия с преобразованием Фурье (FTIR). Эти методы позволяют получить данные высокого разрешения в сочетании с хемометрическими методами, позволяющими различать настоящие и фальсифицированные пищевые масла.</w:t>
      </w:r>
    </w:p>
    <w:p w14:paraId="07AED967" w14:textId="77777777" w:rsidR="00C72DB2" w:rsidRPr="00C72DB2" w:rsidRDefault="00C72DB2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Также, возрастает доля научных исследований, посвященных применению методов машинного обучения (МО) в естесственно-научных областях при решение прикладных задач. Наличие данных высокого разрешения, содержащих в себе информацию, позволяющую различать образцы фальсифицированного и настоящего масла, позволяет автоматизировать процесс анализа результатов спектроскопических исследований и выявлять новые закономерности в данных, что также может привносить интерес в исследование.</w:t>
      </w:r>
    </w:p>
    <w:p w14:paraId="59D6EB9B" w14:textId="77777777" w:rsidR="00C72DB2" w:rsidRPr="00C72DB2" w:rsidRDefault="00C72DB2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В связи с отсутствием на данный момент методики ГОСТ для определения наличия рапсового масла в подсолнечном, актуальной оказалась разработка такой методики на основе FTIR спектроскопии с применением алгоритмов машинного обучения в качестве хемометрических методов для классификации образцов и выявления тенденций при анализе спектральных данных, что является целью данной работы.</w:t>
      </w:r>
    </w:p>
    <w:p w14:paraId="431F2B8E" w14:textId="42CB204F" w:rsidR="008E771A" w:rsidRDefault="008E771A" w:rsidP="008E771A">
      <w:pPr>
        <w:pStyle w:val="Heading2"/>
      </w:pPr>
      <w:r w:rsidRPr="008E771A">
        <w:lastRenderedPageBreak/>
        <w:t>ГЛАВА 1. ОБЗОР И АНАЛИЗ ПРЕДМЕТНОЙ ОБЛАСТИ</w:t>
      </w:r>
    </w:p>
    <w:p w14:paraId="72DF334F" w14:textId="77777777" w:rsidR="008E771A" w:rsidRPr="008E771A" w:rsidRDefault="008E771A" w:rsidP="008E771A"/>
    <w:p w14:paraId="79E699D1" w14:textId="0DAA6F8D" w:rsidR="00C72DB2" w:rsidRPr="00AA0CF3" w:rsidRDefault="00AA0CF3" w:rsidP="00AA0CF3">
      <w:pPr>
        <w:pStyle w:val="Heading3"/>
      </w:pPr>
      <w:r>
        <w:rPr>
          <w:lang w:val="en-US"/>
        </w:rPr>
        <w:t xml:space="preserve"> </w:t>
      </w:r>
      <w:r w:rsidR="00C72DB2" w:rsidRPr="00AA0CF3">
        <w:t>Методики идентификации растительных масел</w:t>
      </w:r>
    </w:p>
    <w:p w14:paraId="1EA7DB24" w14:textId="77777777" w:rsidR="00C72DB2" w:rsidRPr="00C72DB2" w:rsidRDefault="00C72DB2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Контроль качества растительных масел может осуществляться различными методами. Одним из возможных путей идентификации фальсификаций являются физико-химические показатели масел, такие как йодное число, перекисное число, кислотное число и т.д. [2]. Однако в современной промышленности требуется наличие более точных методов, позволяющих оценить более широкий диапазон параметров растительных масел для определения их качества.</w:t>
      </w:r>
    </w:p>
    <w:p w14:paraId="288EC36E" w14:textId="77777777" w:rsidR="00C72DB2" w:rsidRPr="00C72DB2" w:rsidRDefault="00C72DB2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Одним из таких способов является разделение смесей масел при помощи хроматографических методов. Суть данных методов заключается в различном распределении компонентов смеси между фазами установки в зависимости от их физико-химических свойств. Растительные масла являются многокомпонентными смесями, однако для каждого вида масла характерно преобладание остатков определенного набора жирных кислот, и в случае фальсификации масел добавлением сторонних видов, в результате проведения хроматографии можно установить наличие посторонних примесей путем анализа их жирнокислотного состава.</w:t>
      </w:r>
    </w:p>
    <w:p w14:paraId="07EC1427" w14:textId="77777777" w:rsidR="00C72DB2" w:rsidRPr="00C72DB2" w:rsidRDefault="00C72DB2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Так, в работе [1] для определения качества растительных масел использовались методы газовой хроматографии с масс-спектроскопическим детектором. В исследовании [3] описывается проблема определения качества облепихового масла методов высокоэффективной жидкостной хроматографии (ВЭЖХ), заключающаяся в проверке гипотезы о том, что по результатам проведения эксперимента можно установить наличие триглицеридов, не характерных для масла облепихи, например, подсолнечного масла. Было показано, что триглицериды, образованные остатками разных жирных кислот элюируются с различной скоростью, что позволяет разделять их по хроматограммам, полученным в результате проведения ВЖЭХ [3].</w:t>
      </w:r>
    </w:p>
    <w:p w14:paraId="06CDD0B2" w14:textId="77777777" w:rsidR="00C72DB2" w:rsidRPr="00C72DB2" w:rsidRDefault="00C72DB2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Еще одним способом получения данных высокого качества при анализе качества растительных пищевых масел является семейство спектральных методов, таких как флюоресцентная спектроскопия, спектроскопия в ультрафиолетовом </w:t>
      </w: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lastRenderedPageBreak/>
        <w:t>диапазоне (УФ спектроскопия), флуоресцентная спектроскопия [3], инфракрасная спектроскопия с преобразованием Фурье, ЯМР спектроспия. </w:t>
      </w:r>
    </w:p>
    <w:p w14:paraId="20CBFCCE" w14:textId="77777777" w:rsidR="00C72DB2" w:rsidRPr="00C72DB2" w:rsidRDefault="00C72DB2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Метод ЯМР является высокоэффективным способом анализа качества масел. В работе [2] было показано, что проведение анализа спектров ЯМР значительно упрощает процесс анализа состава растительных масел в связи с отличающимися химическими сдвигами углеродных атомов различных жирных кислот, что результирует в наличие отдельных сигналов в спектре, позволяя определять жирнокислотный состав смесей и по наличию посторонних сигналов в сравнении с эталонным спектром образца рассматриваемого масла, позволяющих указать на наличие постороннего вида масла в составе смеси.</w:t>
      </w:r>
    </w:p>
    <w:p w14:paraId="4CAE30E5" w14:textId="77777777" w:rsidR="00C72DB2" w:rsidRPr="00C72DB2" w:rsidRDefault="00C72DB2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Также находит применение в исследовании качества растительных масел метод спектроскопии в ультрафиолетовом диапазоне (УФ-спектроскопия). Данный способ позволяет получать информацию об изменениях в окислительном профиле масел, позволяя выявлять нарушения в качестве по окислительным коэффициентам, свидетельствующим об окислительном состоянии соединений [5]. При этом можно получить данные о качестве масел, изменениях в их качестве при хранении и в процессе промышленной переработки при производстве. Для каждого вида масла характерен свой жирнокислотный состав, влияющий на уровень насыщения связей и способность к окислению, поэтому информация об окислительном состоянии вещества, полученная методом УФ-спектроскопии, обладает ценностью при проведении контроля качества масел как продуктов питания. Изменения в качестве растительных жиров, результирующие в окислительные процессы, происходящие при нарушениях условий хранения или производства, снижают ценность масел, так как высококачественные дорогостоящие масла обладают полезностью в том числе и из-за того, что могут выступать в роли источника антиоксидантов в питании человека. В свою очередь, изменения в окислительном состоянии масел влияют на эту способность, снижая уровень полезности растительных жиров.</w:t>
      </w:r>
    </w:p>
    <w:p w14:paraId="519694A9" w14:textId="77777777" w:rsidR="00C72DB2" w:rsidRPr="00C72DB2" w:rsidRDefault="00C72DB2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Еще одним спектральным методом, позволяющим оценивать качество растительных масел, является масс-спектроскопия (МС). В работе [5] </w:t>
      </w: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lastRenderedPageBreak/>
        <w:t>исследовалась фальсификация оливкового масла холодного отжима соевым маслом. Было показано, что МС может быть использована для решения данной задачи, так как данный способ позволяет выявлять различия в триглицеридном составе. В зависимости от вида масла, для него характерно преобладание того или иного набора жирных кислот, обладающих различной массой и зарядом. Получаемые в МС спектры позволяют оценить представленность компонентов в веществе, и путем сравнения полученных спектров с эталонными может быть установлен случай фальсификации масел путем смешивания более дорогих растительных жиров с более дешевыми.</w:t>
      </w:r>
    </w:p>
    <w:p w14:paraId="18D1FE93" w14:textId="27B8A470" w:rsidR="00AA0CF3" w:rsidRDefault="00C72DB2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Исследование [4] описывает методику применения FTIR спектроскопии для анализа смесей ряда растительных масел с подсолнечным. Авторы указывают, что при визуальном анализе полного спектра, полученного при проведении измерений, сложно найти существенные отличия между образцами. Однако при детальном рассмотрении характеристических регионов спектров имеются различия в интенсивности пиков поглощения. Такими регионами являются области 3100-2800 см</w:t>
      </w: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vertAlign w:val="superscript"/>
          <w:lang w:eastAsia="en-GB"/>
          <w14:ligatures w14:val="none"/>
        </w:rPr>
        <w:t>-1</w:t>
      </w: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, 1800-1600 см</w:t>
      </w: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vertAlign w:val="superscript"/>
          <w:lang w:eastAsia="en-GB"/>
          <w14:ligatures w14:val="none"/>
        </w:rPr>
        <w:t>-1</w:t>
      </w: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 и 1600-1390 см</w:t>
      </w: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vertAlign w:val="superscript"/>
          <w:lang w:eastAsia="en-GB"/>
          <w14:ligatures w14:val="none"/>
        </w:rPr>
        <w:t xml:space="preserve">-1 </w:t>
      </w: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[4], интенсивность поглощения в которых говорит о доле насыщенных и ненасыщенных остатков жирных кислот, а также об общем уровне насыщенности связей в триглицеридах, что позволяет проводить различие между чистыми образцами масел определенного вида, а также смесями различных видов масел, что является признаком недоброкачественности производителей и свидетельствует о наличии акта фальсификации продукции. Было показано, что в зависимости от количественного содержания примеси растительного масла в образцах интенсивность пиков поглощения изменяется [4], что говорит о возможности использования метода FTIR спектроскопии для определения наличия посторонних примесей в образцах реализуемых в продаже растительных масел.</w:t>
      </w:r>
    </w:p>
    <w:p w14:paraId="5D4E8106" w14:textId="1D6E639B" w:rsidR="00C72DB2" w:rsidRPr="00C72DB2" w:rsidRDefault="00AA0CF3" w:rsidP="00AA0CF3">
      <w:pP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br w:type="page"/>
      </w:r>
    </w:p>
    <w:p w14:paraId="4B200573" w14:textId="7E59C945" w:rsidR="00C72DB2" w:rsidRPr="00C72DB2" w:rsidRDefault="00AA0CF3" w:rsidP="00AA0CF3">
      <w:pPr>
        <w:pStyle w:val="Heading3"/>
      </w:pPr>
      <w:r w:rsidRPr="00AA0CF3">
        <w:rPr>
          <w:lang w:val="ru-RU"/>
        </w:rPr>
        <w:lastRenderedPageBreak/>
        <w:t xml:space="preserve"> </w:t>
      </w:r>
      <w:r w:rsidR="00C72DB2" w:rsidRPr="00C72DB2">
        <w:t>Машинное обучение в естественных науках</w:t>
      </w:r>
    </w:p>
    <w:p w14:paraId="34CBC56C" w14:textId="1B2CA4F7" w:rsidR="004622BB" w:rsidRPr="00FB450C" w:rsidRDefault="00C72DB2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В настоящее время МО находит широкое применение в естественнонаучных областях. </w:t>
      </w:r>
      <w:r w:rsidR="00FC60E9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Модели МО используют для предсказания физических свойств материалов </w:t>
      </w:r>
      <w:r w:rsidR="00FC60E9" w:rsidRPr="00FC60E9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[6], </w:t>
      </w:r>
      <w:r w:rsidR="00FC60E9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моделирования и прогнозирования структуры белков </w:t>
      </w:r>
      <w:r w:rsidR="008E751B" w:rsidRPr="008E751B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>[11]</w:t>
      </w:r>
      <w:r w:rsidR="00F10B50" w:rsidRPr="00F10B5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, </w:t>
      </w:r>
      <w:r w:rsidR="009B341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дизайне и разработке лекарств </w:t>
      </w:r>
      <w:r w:rsidR="009B3410" w:rsidRPr="009B341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>[</w:t>
      </w:r>
      <w:r w:rsidR="00E701AB" w:rsidRPr="00E701AB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>16, 17</w:t>
      </w:r>
      <w:r w:rsidR="009B3410" w:rsidRPr="009B341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], </w:t>
      </w:r>
      <w:r w:rsidR="009B341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>оценке токсичности наноматериалов</w:t>
      </w:r>
      <w:r w:rsidR="009B3410" w:rsidRPr="009B341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 [15]</w:t>
      </w:r>
      <w:r w:rsidR="00FB450C" w:rsidRPr="00FB450C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>.</w:t>
      </w:r>
    </w:p>
    <w:p w14:paraId="4EE3B015" w14:textId="77777777" w:rsidR="00DF6F6E" w:rsidRDefault="006E612C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Успех в стремительное развитие применения методов МО </w:t>
      </w:r>
      <w:r w:rsidR="007E214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>в науке обусловлен наличием больших объемов данных</w:t>
      </w:r>
      <w:r w:rsidR="007E2141" w:rsidRPr="007E214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, </w:t>
      </w:r>
      <w:r w:rsidR="007E214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>получаемых исследователями в доменных областях</w:t>
      </w:r>
      <w:r w:rsidR="007E2141" w:rsidRPr="007E214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, </w:t>
      </w:r>
      <w:r w:rsidR="007E214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который продолжает пополняться с каждым днем </w:t>
      </w:r>
      <w:r w:rsidR="007E2141" w:rsidRPr="007E214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>[14].</w:t>
      </w:r>
    </w:p>
    <w:p w14:paraId="1646257B" w14:textId="0EC21123" w:rsidR="00706CBB" w:rsidRPr="000D24C7" w:rsidRDefault="00DF6F6E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Применение алгоритмов МО позволяет </w:t>
      </w:r>
    </w:p>
    <w:p w14:paraId="267DE186" w14:textId="6805F962" w:rsidR="00C72DB2" w:rsidRPr="00C72DB2" w:rsidRDefault="004622BB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>Однако</w:t>
      </w:r>
      <w:r w:rsidRP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, </w:t>
      </w:r>
      <w:r w:rsid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>на данный момент существует проблема репрезентации молекул химических веществ для подачи данных в модели МО</w:t>
      </w:r>
      <w:r w:rsidR="00577C00" w:rsidRP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 [12]. </w:t>
      </w:r>
      <w:r w:rsid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>Данная проблема важна</w:t>
      </w:r>
      <w:r w:rsidR="00577C00" w:rsidRP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, </w:t>
      </w:r>
      <w:r w:rsid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>так как производительность и эффективность работы алгоритмов тесно связана с представлением и форматом данных</w:t>
      </w:r>
      <w:r w:rsidR="00577C00" w:rsidRP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, </w:t>
      </w:r>
      <w:r w:rsid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>которые подаются на вход модели</w:t>
      </w:r>
      <w:r w:rsidR="00577C00" w:rsidRP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. </w:t>
      </w:r>
      <w:r w:rsid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Одним из самых популярных вариантом представления химических соединений является запись формул в формате </w:t>
      </w:r>
      <w:r w:rsid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en-GB"/>
          <w14:ligatures w14:val="none"/>
        </w:rPr>
        <w:t>SMILES</w:t>
      </w:r>
      <w:r w:rsidR="00A43ADD" w:rsidRPr="00A43ADD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 [13]</w:t>
      </w:r>
      <w:r w:rsidR="00577C00" w:rsidRP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. </w:t>
      </w:r>
      <w:r w:rsid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>Этот формат удобен для чтения людьми</w:t>
      </w:r>
      <w:r w:rsidR="00577C00" w:rsidRP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, </w:t>
      </w:r>
      <w:r w:rsid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>но вычислительные машины справляются с ним не так хорошо,</w:t>
      </w:r>
      <w:r w:rsidR="00577C00" w:rsidRP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 </w:t>
      </w:r>
      <w:r w:rsid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и несмотря на развитие моделей обработки естественного языка </w:t>
      </w:r>
      <w:r w:rsidR="00577C00" w:rsidRP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>(</w:t>
      </w:r>
      <w:r w:rsid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en-GB"/>
          <w14:ligatures w14:val="none"/>
        </w:rPr>
        <w:t>NLP</w:t>
      </w:r>
      <w:r w:rsidR="00577C00" w:rsidRP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 – </w:t>
      </w:r>
      <w:r w:rsid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en-GB"/>
          <w14:ligatures w14:val="none"/>
        </w:rPr>
        <w:t>natural</w:t>
      </w:r>
      <w:r w:rsidR="00577C00" w:rsidRP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 </w:t>
      </w:r>
      <w:r w:rsid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en-GB"/>
          <w14:ligatures w14:val="none"/>
        </w:rPr>
        <w:t>language</w:t>
      </w:r>
      <w:r w:rsidR="00577C00" w:rsidRP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 </w:t>
      </w:r>
      <w:r w:rsid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en-GB"/>
          <w14:ligatures w14:val="none"/>
        </w:rPr>
        <w:t>processing</w:t>
      </w:r>
      <w:r w:rsidR="00577C00" w:rsidRP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), </w:t>
      </w:r>
      <w:r w:rsid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эффективность алгоритмов МО при обработке данных в формате </w:t>
      </w:r>
      <w:r w:rsid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en-GB"/>
          <w14:ligatures w14:val="none"/>
        </w:rPr>
        <w:t>SMILES</w:t>
      </w:r>
      <w:r w:rsidR="00577C00" w:rsidRP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 </w:t>
      </w:r>
      <w:r w:rsid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>остается невысокой</w:t>
      </w:r>
      <w:r w:rsidR="00577C00" w:rsidRP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. </w:t>
      </w:r>
      <w:r w:rsid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>В связи с этим при решении большого количества задач исследователи прибегают к использованию базовых физико-химических параметров молекул</w:t>
      </w:r>
      <w:r w:rsidR="00577C00" w:rsidRP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, </w:t>
      </w:r>
      <w:r w:rsid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а также используют методы векторизации строк формата </w:t>
      </w:r>
      <w:r w:rsid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en-GB"/>
          <w14:ligatures w14:val="none"/>
        </w:rPr>
        <w:t>SMILES</w:t>
      </w:r>
      <w:r w:rsidR="00577C00" w:rsidRP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 </w:t>
      </w:r>
      <w:r w:rsid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при помощи </w:t>
      </w:r>
      <w:proofErr w:type="spellStart"/>
      <w:r w:rsid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>полносвязных</w:t>
      </w:r>
      <w:proofErr w:type="spellEnd"/>
      <w:r w:rsid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 нейронных сетей</w:t>
      </w:r>
      <w:r w:rsidR="00577C00" w:rsidRP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. </w:t>
      </w:r>
      <w:r w:rsidR="008E751B" w:rsidRPr="008E751B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 </w:t>
      </w:r>
      <w:r w:rsid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>Описанная проблема вызывает научный интерес</w:t>
      </w:r>
      <w:r w:rsidR="00577C00" w:rsidRP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, </w:t>
      </w:r>
      <w:r w:rsid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>так как разработка унифицированного метода представления молекул может совершить прорыв в области машинного обучения в химии</w:t>
      </w:r>
      <w:r w:rsidR="00577C00" w:rsidRP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, </w:t>
      </w:r>
      <w:r w:rsid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открывая новые возможности для исследования и позволяя улучшить производительность </w:t>
      </w:r>
      <w:proofErr w:type="gramStart"/>
      <w:r w:rsid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>уже существующих</w:t>
      </w:r>
      <w:proofErr w:type="gramEnd"/>
      <w:r w:rsid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 алгоритмов</w:t>
      </w:r>
      <w:r w:rsidR="00577C00" w:rsidRPr="00577C0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>.</w:t>
      </w:r>
    </w:p>
    <w:p w14:paraId="39FBE27B" w14:textId="77777777" w:rsidR="00AA0CF3" w:rsidRDefault="00AA0CF3">
      <w:pPr>
        <w:rPr>
          <w:rFonts w:ascii="Times New Roman" w:eastAsia="Times New Roman" w:hAnsi="Times New Roman" w:cstheme="majorBidi"/>
          <w:b/>
          <w:color w:val="000000" w:themeColor="text1"/>
          <w:sz w:val="28"/>
          <w:szCs w:val="26"/>
          <w:shd w:val="clear" w:color="auto" w:fill="FFFFFF"/>
          <w:lang w:val="ru-RU" w:eastAsia="en-GB"/>
        </w:rPr>
      </w:pPr>
      <w:r>
        <w:rPr>
          <w:rFonts w:eastAsia="Times New Roman"/>
          <w:shd w:val="clear" w:color="auto" w:fill="FFFFFF"/>
          <w:lang w:val="ru-RU" w:eastAsia="en-GB"/>
        </w:rPr>
        <w:br w:type="page"/>
      </w:r>
    </w:p>
    <w:p w14:paraId="464E9366" w14:textId="02ACCB32" w:rsidR="00AA0CF3" w:rsidRDefault="00AA0CF3" w:rsidP="00AA0CF3">
      <w:pPr>
        <w:pStyle w:val="Heading2"/>
        <w:rPr>
          <w:rFonts w:eastAsia="Times New Roman"/>
          <w:shd w:val="clear" w:color="auto" w:fill="FFFFFF"/>
          <w:lang w:val="ru-RU" w:eastAsia="en-GB"/>
        </w:rPr>
      </w:pPr>
      <w:r>
        <w:rPr>
          <w:rFonts w:eastAsia="Times New Roman"/>
          <w:shd w:val="clear" w:color="auto" w:fill="FFFFFF"/>
          <w:lang w:val="ru-RU" w:eastAsia="en-GB"/>
        </w:rPr>
        <w:lastRenderedPageBreak/>
        <w:t>ГЛАВА 2</w:t>
      </w:r>
      <w:r w:rsidRPr="00AA0CF3">
        <w:rPr>
          <w:rFonts w:eastAsia="Times New Roman"/>
          <w:shd w:val="clear" w:color="auto" w:fill="FFFFFF"/>
          <w:lang w:val="ru-RU" w:eastAsia="en-GB"/>
        </w:rPr>
        <w:t xml:space="preserve">. </w:t>
      </w:r>
      <w:r>
        <w:rPr>
          <w:rFonts w:eastAsia="Times New Roman"/>
          <w:shd w:val="clear" w:color="auto" w:fill="FFFFFF"/>
          <w:lang w:val="ru-RU" w:eastAsia="en-GB"/>
        </w:rPr>
        <w:t>МАТЕРИАЛЫ И МЕТОДЫ</w:t>
      </w:r>
    </w:p>
    <w:p w14:paraId="15776F35" w14:textId="77777777" w:rsidR="00AA0CF3" w:rsidRPr="00AA0CF3" w:rsidRDefault="00AA0CF3" w:rsidP="00AA0CF3">
      <w:pPr>
        <w:rPr>
          <w:lang w:val="ru-RU" w:eastAsia="en-GB"/>
        </w:rPr>
      </w:pPr>
    </w:p>
    <w:p w14:paraId="5D1F245D" w14:textId="4F576BEA" w:rsidR="00C72DB2" w:rsidRPr="00C72DB2" w:rsidRDefault="0009569F" w:rsidP="00AA0CF3">
      <w:pPr>
        <w:pStyle w:val="Heading3"/>
      </w:pPr>
      <w:r>
        <w:rPr>
          <w:lang w:val="en-US"/>
        </w:rPr>
        <w:t xml:space="preserve"> </w:t>
      </w:r>
      <w:r w:rsidR="00C72DB2" w:rsidRPr="00C72DB2">
        <w:t>Машинное обучение</w:t>
      </w:r>
    </w:p>
    <w:p w14:paraId="0EC2DEE7" w14:textId="77777777" w:rsidR="00C72DB2" w:rsidRPr="00C72DB2" w:rsidRDefault="00C72DB2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Машинное обучение - совокупность методов искусственного интеллекта (ИИ), в основе которых лежат математические методы статистики и теории вероятностей.</w:t>
      </w:r>
    </w:p>
    <w:p w14:paraId="64EDF299" w14:textId="77777777" w:rsidR="00C72DB2" w:rsidRPr="00C72DB2" w:rsidRDefault="00C72DB2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Одной из основных ценностей МО является возможность работать с большим данных, которые стремительно накапливаются в современном мире, проводить их анализ, выявлять новые закономерности, которые можно увидеть лишь в масштабах выборки размером в тысячи, десятки и сотни тысяч образцов. Такие объемы данных неподвластны восприятию человеком, однако могут быть обработаны и интерпретированы при помощи современных инструментов машинного обучения.</w:t>
      </w:r>
    </w:p>
    <w:p w14:paraId="1780B7A5" w14:textId="77777777" w:rsidR="00C72DB2" w:rsidRPr="00C72DB2" w:rsidRDefault="00C72DB2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Основной задачей МО выступает выявление определенного правила или закономерности на основании больших данных. Такое правило описывается функцией, параметры которой алгоритм подбирает в процессе обучения на выбранном исследователем наборе данных. Методы МО в общем случае можно классифицировать на три вида: обучение с учителем, обучение без учителя, и обучение с подкреплением [6]. </w:t>
      </w:r>
    </w:p>
    <w:p w14:paraId="4011E32C" w14:textId="43E1F0C5" w:rsidR="00C72DB2" w:rsidRPr="00C72DB2" w:rsidRDefault="00C72DB2" w:rsidP="00DF3F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Обучение с учителем</w:t>
      </w:r>
    </w:p>
    <w:p w14:paraId="0944EB99" w14:textId="77777777" w:rsidR="00C72DB2" w:rsidRPr="00C72DB2" w:rsidRDefault="00C72DB2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Суть обучения с учителем заключается в том, что алгоритму дается набор входных параметров и набор соответствующих им ожидаемых результатов. При этом задачей является подбор оптимальной функции, позволяющей получать ожидаемые результаты с наименьшей долей ошибки. Ошибкой в методах обучения с учителем является метрика, позволяющая оценить степень различия между предсказанными результатами и ожидаемыми значениями целевой переменной из исходного набора данных.</w:t>
      </w:r>
    </w:p>
    <w:p w14:paraId="340F138A" w14:textId="77777777" w:rsidR="00C72DB2" w:rsidRPr="00C72DB2" w:rsidRDefault="00C72DB2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При решении задач классификации оценить качество работы алгоритма  можно с помощью следующих методов. Первым способом, подходящим для задачи бинарной классификации, то есть классификации, где выбор состоит из двух возможных классов, является построение матрицы ошибок, </w:t>
      </w: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lastRenderedPageBreak/>
        <w:t>содержащей информацию о доле ложно-положительных (FP - false positive), ложно-отрицательных (FN - false negative), истинно-отрицательных (TN - true negative) и истинно-положительных (TP - true positive) предсказаний. В группу ложных предсказаний относятся результаты, когда конкретный образец ложно определен к  тому или иному классу. В группе истинных предсказаний относятся случаи верного определения класса, к которому принадлежит образец. Данный метод оценки работы модели МО особенно важен для некоторых задач, например, для решения задач в медицине. Например, если алгоритм определения возможных заболеваний по результатам медицинских анализов ложно определит больного человека в группу здоровых, то это более критично, чем определение здорового человека в больные и рекомендация пройти более комплексное обследование и  дополнительную консультацию у специалиста. Из вышеописанной метрики оценки истинных и ложных предсказаний вытекает еще один метод оценки точности бинарной классификации - кривая ROC (</w:t>
      </w:r>
      <w:r w:rsidRPr="00C72DB2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:shd w:val="clear" w:color="auto" w:fill="FFFFFF"/>
          <w:lang w:eastAsia="en-GB"/>
          <w14:ligatures w14:val="none"/>
        </w:rPr>
        <w:t>receiver operating characteristic curve), которая отражает соотношение между специфичность и чувствительностью метода определения класса, что является критичным при проведении анализа, например, в области медицины [9]. Представим ситуацию, при которой перед исследователем стоит задача классификации больных и здоровых людей по результатам медицинских анализов. В таком случае, чувствительность, или true positive rate (TPR), отражает условную вероятность правильного определения заболевшего человека [9], и рассчитывается по формуле (1)</w:t>
      </w:r>
    </w:p>
    <w:p w14:paraId="416D6F7F" w14:textId="77777777" w:rsidR="00C72DB2" w:rsidRPr="00C72DB2" w:rsidRDefault="00C72DB2" w:rsidP="00C72DB2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:shd w:val="clear" w:color="auto" w:fill="FFFFFF"/>
          <w:lang w:eastAsia="en-GB"/>
          <w14:ligatures w14:val="none"/>
        </w:rPr>
        <w:t>TPR = TPTP + FN (1),</w:t>
      </w:r>
    </w:p>
    <w:p w14:paraId="1E5B373A" w14:textId="77777777" w:rsidR="00C72DB2" w:rsidRPr="00C72DB2" w:rsidRDefault="00C72DB2" w:rsidP="00C72DB2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:shd w:val="clear" w:color="auto" w:fill="FFFFFF"/>
          <w:lang w:eastAsia="en-GB"/>
          <w14:ligatures w14:val="none"/>
        </w:rPr>
        <w:t>где TP - количество истинно-положительных предсказаний, FN - количество ложно отрицательных результатов. Специфичность, или true negative rate (TNR), отражает условную вероятность верного определения здорового человека, и рассчитывается по формуле (2):</w:t>
      </w:r>
    </w:p>
    <w:p w14:paraId="2C62689D" w14:textId="77777777" w:rsidR="00C72DB2" w:rsidRPr="00C72DB2" w:rsidRDefault="00C72DB2" w:rsidP="00C72DB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:shd w:val="clear" w:color="auto" w:fill="FFFFFF"/>
          <w:lang w:eastAsia="en-GB"/>
          <w14:ligatures w14:val="none"/>
        </w:rPr>
        <w:t>TNR = TNTN + FP (2),</w:t>
      </w:r>
    </w:p>
    <w:p w14:paraId="56541FE2" w14:textId="77777777" w:rsidR="00C72DB2" w:rsidRPr="00C72DB2" w:rsidRDefault="00C72DB2" w:rsidP="00C72DB2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где TN - количество истинно-отрицательных предсказаний, FP - количество ложно положительных предсказаний. В формулах (1), (2) знаменатель дроби представляет </w:t>
      </w:r>
      <w:r w:rsidRPr="00C72DB2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:shd w:val="clear" w:color="auto" w:fill="FFFFFF"/>
          <w:lang w:eastAsia="en-GB"/>
          <w14:ligatures w14:val="none"/>
        </w:rPr>
        <w:lastRenderedPageBreak/>
        <w:t>общее количество образцов, соответствующих либо классу больных, либо классу здоровых. Пример получаемого графика метрики показан на рисунке 1.</w:t>
      </w:r>
    </w:p>
    <w:p w14:paraId="7457FA90" w14:textId="34B822FD" w:rsidR="00C72DB2" w:rsidRPr="00C72DB2" w:rsidRDefault="00C72DB2" w:rsidP="00C72DB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:bdr w:val="none" w:sz="0" w:space="0" w:color="auto" w:frame="1"/>
          <w:shd w:val="clear" w:color="auto" w:fill="FFFFFF"/>
          <w:lang w:eastAsia="en-GB"/>
          <w14:ligatures w14:val="none"/>
        </w:rPr>
        <w:fldChar w:fldCharType="begin"/>
      </w:r>
      <w:r w:rsidRPr="00C72DB2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:bdr w:val="none" w:sz="0" w:space="0" w:color="auto" w:frame="1"/>
          <w:shd w:val="clear" w:color="auto" w:fill="FFFFFF"/>
          <w:lang w:eastAsia="en-GB"/>
          <w14:ligatures w14:val="none"/>
        </w:rPr>
        <w:instrText xml:space="preserve"> INCLUDEPICTURE "https://lh7-us.googleusercontent.com/HC-kLc0ehhcpX8FGjr8pnVLrGBG3_MR3Q2P0vnyr4Lc9vZy81fLxqqkqh-YRaNuVRIPGzSOK0ZpPqGPM61DILk_kyoU7zaesY-Bbev_tUWJWAGhSUqsRGpSN6JmFxfv8yzi4IKWKA1N2QseeclZP9kY" \* MERGEFORMATINET </w:instrText>
      </w:r>
      <w:r w:rsidRPr="00C72DB2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:bdr w:val="none" w:sz="0" w:space="0" w:color="auto" w:frame="1"/>
          <w:shd w:val="clear" w:color="auto" w:fill="FFFFFF"/>
          <w:lang w:eastAsia="en-GB"/>
          <w14:ligatures w14:val="none"/>
        </w:rPr>
        <w:fldChar w:fldCharType="separate"/>
      </w:r>
      <w:r w:rsidRPr="00C72DB2">
        <w:rPr>
          <w:rFonts w:ascii="Times New Roman" w:eastAsia="Times New Roman" w:hAnsi="Times New Roman" w:cs="Times New Roman"/>
          <w:noProof/>
          <w:color w:val="202124"/>
          <w:kern w:val="0"/>
          <w:sz w:val="28"/>
          <w:szCs w:val="28"/>
          <w:bdr w:val="none" w:sz="0" w:space="0" w:color="auto" w:frame="1"/>
          <w:shd w:val="clear" w:color="auto" w:fill="FFFFFF"/>
          <w:lang w:eastAsia="en-GB"/>
          <w14:ligatures w14:val="none"/>
        </w:rPr>
        <w:drawing>
          <wp:inline distT="0" distB="0" distL="0" distR="0" wp14:anchorId="1F00A65A" wp14:editId="55F50B1C">
            <wp:extent cx="6299835" cy="6377305"/>
            <wp:effectExtent l="0" t="0" r="0" b="0"/>
            <wp:docPr id="117524940" name="Picture 1" descr="A graph of a number of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4940" name="Picture 1" descr="A graph of a number of black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37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DB2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:bdr w:val="none" w:sz="0" w:space="0" w:color="auto" w:frame="1"/>
          <w:shd w:val="clear" w:color="auto" w:fill="FFFFFF"/>
          <w:lang w:eastAsia="en-GB"/>
          <w14:ligatures w14:val="none"/>
        </w:rPr>
        <w:fldChar w:fldCharType="end"/>
      </w:r>
      <w:r w:rsidRPr="00C72DB2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:shd w:val="clear" w:color="auto" w:fill="FFFFFF"/>
          <w:lang w:eastAsia="en-GB"/>
          <w14:ligatures w14:val="none"/>
        </w:rPr>
        <w:t> </w:t>
      </w:r>
    </w:p>
    <w:p w14:paraId="6E3461DE" w14:textId="77777777" w:rsidR="00C72DB2" w:rsidRPr="00C72DB2" w:rsidRDefault="00C72DB2" w:rsidP="00C72DB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:shd w:val="clear" w:color="auto" w:fill="FFFFFF"/>
          <w:lang w:eastAsia="en-GB"/>
          <w14:ligatures w14:val="none"/>
        </w:rPr>
        <w:t>Рис.1 Три эмпирические ROC-кривые [9].</w:t>
      </w:r>
    </w:p>
    <w:p w14:paraId="6A9B6FB7" w14:textId="3FD1C30D" w:rsidR="00C72DB2" w:rsidRPr="00C72DB2" w:rsidRDefault="00C72DB2" w:rsidP="00C72DB2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:shd w:val="clear" w:color="auto" w:fill="FFFFFF"/>
          <w:lang w:eastAsia="en-GB"/>
          <w14:ligatures w14:val="none"/>
        </w:rPr>
        <w:tab/>
        <w:t>Площадь под графиком (AUC - area under curve) ROC кривой позволяет оценить соотношение между специфичность и чувствительностью метода.</w:t>
      </w:r>
      <w:r w:rsidR="00F10B50" w:rsidRPr="00F10B50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202124"/>
            <w:kern w:val="0"/>
            <w:sz w:val="28"/>
            <w:szCs w:val="28"/>
            <w:shd w:val="clear" w:color="auto" w:fill="FFFFFF"/>
            <w:lang w:val="ru-RU" w:eastAsia="en-GB"/>
            <w14:ligatures w14:val="none"/>
          </w:rPr>
          <m:t>AUC = 1</m:t>
        </m:r>
      </m:oMath>
      <w:r w:rsidRPr="00C72DB2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 показывает, что метод обладает идеальной способностью разделять больных и здоровых людей [9]. Приведенная аналогия определения здоровых и больных людей может быть представлена как пример задачи бинарной классификации. В </w:t>
      </w:r>
      <w:r w:rsidRPr="00C72DB2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:shd w:val="clear" w:color="auto" w:fill="FFFFFF"/>
          <w:lang w:eastAsia="en-GB"/>
          <w14:ligatures w14:val="none"/>
        </w:rPr>
        <w:lastRenderedPageBreak/>
        <w:t>связи с этим, метод оценки площади под графиком ROC кривой находит применение в оценке работы предсказательных алгоритмов машинного обучения.</w:t>
      </w:r>
    </w:p>
    <w:p w14:paraId="6819B93D" w14:textId="77777777" w:rsidR="00C72DB2" w:rsidRPr="00C72DB2" w:rsidRDefault="00C72DB2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Еще одной метрикой является общая точность классификации, выражаемая в долях или процентах и показывающая соотношение образцов, для которых был предсказан класс, к которому они относятся в исходном наборе данных. Этот способ оценки является актуальным как при решении задач бинарной классификации, так и в случае необходимости классификации образцов, которые могут относиться к множеству классов, то есть в таком случае, если набор данных описывает выборку с количеством классов больше двух.</w:t>
      </w:r>
    </w:p>
    <w:p w14:paraId="46FAA0D1" w14:textId="52BE59BA" w:rsidR="009A4EDA" w:rsidRDefault="00C72DB2" w:rsidP="006F117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В случае решения задач регрессии для оценки точности алгоритмов МО также используется несколько метрик</w:t>
      </w:r>
      <w:r w:rsidR="00AF5C40" w:rsidRPr="00AF5C4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>:</w:t>
      </w:r>
    </w:p>
    <w:p w14:paraId="30059036" w14:textId="48ED4B4E" w:rsidR="00AF5C40" w:rsidRDefault="00AF5C40" w:rsidP="00AF5C4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>Средняя</w:t>
      </w:r>
      <w:r w:rsidRPr="00AF5C4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>абсолютная</w:t>
      </w:r>
      <w:r w:rsidRPr="00AF5C4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>ошибка</w:t>
      </w:r>
      <w:r w:rsidRPr="00AF5C4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en-GB"/>
          <w14:ligatures w14:val="none"/>
        </w:rPr>
        <w:t>MAE</w:t>
      </w:r>
      <w:r w:rsidRPr="00AF5C4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en-GB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en-GB"/>
          <w14:ligatures w14:val="none"/>
        </w:rPr>
        <w:t>mean</w:t>
      </w:r>
      <w:r w:rsidRPr="00AF5C4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en-GB"/>
          <w14:ligatures w14:val="none"/>
        </w:rPr>
        <w:t>absolute</w:t>
      </w:r>
      <w:r w:rsidRPr="00AF5C40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en-GB"/>
          <w14:ligatures w14:val="none"/>
        </w:rPr>
        <w:t>error</w:t>
      </w:r>
    </w:p>
    <w:p w14:paraId="707B7927" w14:textId="61382DD7" w:rsidR="00AF5C40" w:rsidRPr="00AF5C40" w:rsidRDefault="00AF5C40" w:rsidP="00AF5C40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en-GB"/>
              <w14:ligatures w14:val="none"/>
            </w:rPr>
            <m:t>MAE=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en-GB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en-GB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en-GB"/>
                  <w14:ligatures w14:val="none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en-GB"/>
                  <w14:ligatures w14:val="none"/>
                </w:rPr>
                <m:t>i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en-GB"/>
                  <w14:ligatures w14:val="none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en-GB"/>
                  <w14:ligatures w14:val="none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en-GB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en-GB"/>
                          <w14:ligatures w14:val="non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en-GB"/>
                          <w14:ligatures w14:val="none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en-GB"/>
                      <w14:ligatures w14:val="none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en-GB"/>
                          <w14:ligatures w14:val="none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1E3421C2" w14:textId="5A066D0F" w:rsidR="00AF5C40" w:rsidRPr="00914F89" w:rsidRDefault="00AF5C40" w:rsidP="00914F8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</w:pPr>
      <w:r w:rsidRPr="00914F89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Среднеквадратичная ошибка </w:t>
      </w:r>
      <w:r w:rsidRPr="00914F89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en-GB"/>
          <w14:ligatures w14:val="none"/>
        </w:rPr>
        <w:t>MSE</w:t>
      </w:r>
      <w:r w:rsidRPr="00914F89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 – </w:t>
      </w:r>
      <w:r w:rsidRPr="00914F89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en-GB"/>
          <w14:ligatures w14:val="none"/>
        </w:rPr>
        <w:t>mean</w:t>
      </w:r>
      <w:r w:rsidRPr="00914F89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 </w:t>
      </w:r>
      <w:r w:rsidRPr="00914F89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en-GB"/>
          <w14:ligatures w14:val="none"/>
        </w:rPr>
        <w:t>squared error</w:t>
      </w:r>
    </w:p>
    <w:p w14:paraId="21F97909" w14:textId="7343F851" w:rsidR="00AF5C40" w:rsidRPr="00AF5C40" w:rsidRDefault="00AF5C40" w:rsidP="00AF5C40">
      <w:pPr>
        <w:spacing w:line="360" w:lineRule="auto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1F1F1F"/>
              <w:kern w:val="0"/>
              <w:sz w:val="28"/>
              <w:szCs w:val="28"/>
              <w:shd w:val="clear" w:color="auto" w:fill="FFFFFF"/>
              <w:lang w:eastAsia="en-GB"/>
              <w14:ligatures w14:val="none"/>
            </w:rPr>
            <m:t>MSE=</m:t>
          </m:r>
          <m:f>
            <m:fPr>
              <m:ctrlPr>
                <w:rPr>
                  <w:rFonts w:ascii="Cambria Math" w:eastAsia="Times New Roman" w:hAnsi="Cambria Math" w:cs="Times New Roman"/>
                  <w:color w:val="1F1F1F"/>
                  <w:kern w:val="0"/>
                  <w:sz w:val="28"/>
                  <w:szCs w:val="28"/>
                  <w:shd w:val="clear" w:color="auto" w:fill="FFFFFF"/>
                  <w:lang w:eastAsia="en-GB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1F1F1F"/>
                  <w:kern w:val="0"/>
                  <w:sz w:val="28"/>
                  <w:szCs w:val="28"/>
                  <w:shd w:val="clear" w:color="auto" w:fill="FFFFFF"/>
                  <w:lang w:eastAsia="en-GB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color w:val="1F1F1F"/>
                  <w:kern w:val="0"/>
                  <w:sz w:val="28"/>
                  <w:szCs w:val="28"/>
                  <w:shd w:val="clear" w:color="auto" w:fill="FFFFFF"/>
                  <w:lang w:eastAsia="en-GB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1F1F1F"/>
                  <w:kern w:val="0"/>
                  <w:sz w:val="28"/>
                  <w:szCs w:val="28"/>
                  <w:shd w:val="clear" w:color="auto" w:fill="FFFFFF"/>
                  <w:lang w:eastAsia="en-GB"/>
                  <w14:ligatures w14:val="none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color w:val="1F1F1F"/>
                  <w:kern w:val="0"/>
                  <w:sz w:val="28"/>
                  <w:szCs w:val="28"/>
                  <w:shd w:val="clear" w:color="auto" w:fill="FFFFFF"/>
                  <w:lang w:eastAsia="en-GB"/>
                  <w14:ligatures w14:val="none"/>
                </w:rPr>
              </m:ctrlPr>
            </m:den>
          </m:f>
          <m:nary>
            <m:naryPr>
              <m:chr m:val="∑"/>
              <m:ctrlPr>
                <w:rPr>
                  <w:rFonts w:ascii="Cambria Math" w:eastAsia="Times New Roman" w:hAnsi="Cambria Math" w:cs="Times New Roman"/>
                  <w:color w:val="1F1F1F"/>
                  <w:kern w:val="0"/>
                  <w:sz w:val="28"/>
                  <w:szCs w:val="28"/>
                  <w:shd w:val="clear" w:color="auto" w:fill="FFFFFF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1F1F1F"/>
                  <w:kern w:val="0"/>
                  <w:sz w:val="28"/>
                  <w:szCs w:val="28"/>
                  <w:shd w:val="clear" w:color="auto" w:fill="FFFFFF"/>
                  <w:lang w:eastAsia="en-GB"/>
                  <w14:ligatures w14:val="none"/>
                </w:rPr>
                <m:t>i=1</m:t>
              </m:r>
              <m:ctrlPr>
                <w:rPr>
                  <w:rFonts w:ascii="Cambria Math" w:eastAsia="Times New Roman" w:hAnsi="Cambria Math" w:cs="Times New Roman"/>
                  <w:i/>
                  <w:color w:val="1F1F1F"/>
                  <w:kern w:val="0"/>
                  <w:sz w:val="28"/>
                  <w:szCs w:val="28"/>
                  <w:shd w:val="clear" w:color="auto" w:fill="FFFFFF"/>
                  <w:lang w:eastAsia="en-GB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color w:val="1F1F1F"/>
                  <w:kern w:val="0"/>
                  <w:sz w:val="28"/>
                  <w:szCs w:val="28"/>
                  <w:shd w:val="clear" w:color="auto" w:fill="FFFFFF"/>
                  <w:lang w:eastAsia="en-GB"/>
                  <w14:ligatures w14:val="none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color w:val="1F1F1F"/>
                  <w:kern w:val="0"/>
                  <w:sz w:val="28"/>
                  <w:szCs w:val="28"/>
                  <w:shd w:val="clear" w:color="auto" w:fill="FFFFFF"/>
                  <w:lang w:eastAsia="en-GB"/>
                  <w14:ligatures w14:val="none"/>
                </w:rPr>
              </m:ctrlP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1F1F1F"/>
                      <w:kern w:val="0"/>
                      <w:sz w:val="28"/>
                      <w:szCs w:val="28"/>
                      <w:shd w:val="clear" w:color="auto" w:fill="FFFFFF"/>
                      <w:lang w:eastAsia="en-GB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1F1F1F"/>
                          <w:kern w:val="0"/>
                          <w:sz w:val="28"/>
                          <w:szCs w:val="28"/>
                          <w:shd w:val="clear" w:color="auto" w:fill="FFFFFF"/>
                          <w:lang w:eastAsia="en-GB"/>
                          <w14:ligatures w14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1F1F1F"/>
                              <w:kern w:val="0"/>
                              <w:sz w:val="28"/>
                              <w:szCs w:val="28"/>
                              <w:shd w:val="clear" w:color="auto" w:fill="FFFFFF"/>
                              <w:lang w:eastAsia="en-GB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1F1F1F"/>
                              <w:kern w:val="0"/>
                              <w:sz w:val="28"/>
                              <w:szCs w:val="28"/>
                              <w:shd w:val="clear" w:color="auto" w:fill="FFFFFF"/>
                              <w:lang w:eastAsia="en-GB"/>
                              <w14:ligatures w14:val="none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1F1F1F"/>
                              <w:kern w:val="0"/>
                              <w:sz w:val="28"/>
                              <w:szCs w:val="28"/>
                              <w:shd w:val="clear" w:color="auto" w:fill="FFFFFF"/>
                              <w:lang w:eastAsia="en-GB"/>
                              <w14:ligatures w14:val="non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1F1F1F"/>
                          <w:kern w:val="0"/>
                          <w:sz w:val="28"/>
                          <w:szCs w:val="28"/>
                          <w:shd w:val="clear" w:color="auto" w:fill="FFFFFF"/>
                          <w:lang w:eastAsia="en-GB"/>
                          <w14:ligatures w14:val="none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1F1F1F"/>
                              <w:kern w:val="0"/>
                              <w:sz w:val="28"/>
                              <w:szCs w:val="28"/>
                              <w:shd w:val="clear" w:color="auto" w:fill="FFFFFF"/>
                              <w:lang w:eastAsia="en-GB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1F1F1F"/>
                              <w:kern w:val="0"/>
                              <w:sz w:val="28"/>
                              <w:szCs w:val="28"/>
                              <w:shd w:val="clear" w:color="auto" w:fill="FFFFFF"/>
                              <w:lang w:eastAsia="en-GB"/>
                              <w14:ligatures w14:val="none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1F1F1F"/>
                              <w:kern w:val="0"/>
                              <w:sz w:val="28"/>
                              <w:szCs w:val="28"/>
                              <w:shd w:val="clear" w:color="auto" w:fill="FFFFFF"/>
                              <w:lang w:eastAsia="en-GB"/>
                              <w14:ligatures w14:val="none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color w:val="1F1F1F"/>
                      <w:kern w:val="0"/>
                      <w:sz w:val="28"/>
                      <w:szCs w:val="28"/>
                      <w:shd w:val="clear" w:color="auto" w:fill="FFFFFF"/>
                      <w:lang w:eastAsia="en-GB"/>
                      <w14:ligatures w14:val="none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color w:val="1F1F1F"/>
                  <w:kern w:val="0"/>
                  <w:sz w:val="28"/>
                  <w:szCs w:val="28"/>
                  <w:shd w:val="clear" w:color="auto" w:fill="FFFFFF"/>
                  <w:lang w:eastAsia="en-GB"/>
                  <w14:ligatures w14:val="none"/>
                </w:rPr>
              </m:ctrlPr>
            </m:e>
          </m:nary>
        </m:oMath>
      </m:oMathPara>
    </w:p>
    <w:p w14:paraId="7779ADAD" w14:textId="0FB28A7A" w:rsidR="00C72DB2" w:rsidRPr="00AF5C40" w:rsidRDefault="00AF5C40" w:rsidP="00914F8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 xml:space="preserve">Коэффициент детерминации </w:t>
      </w:r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en-GB"/>
          <w14:ligatures w14:val="none"/>
        </w:rPr>
        <w:t>R</w:t>
      </w:r>
      <w:r>
        <w:rPr>
          <w:rFonts w:ascii="Times New Roman" w:eastAsia="Times New Roman" w:hAnsi="Times New Roman" w:cs="Times New Roman"/>
          <w:color w:val="1F1F1F"/>
          <w:kern w:val="0"/>
          <w:shd w:val="clear" w:color="auto" w:fill="FFFFFF"/>
          <w:vertAlign w:val="superscript"/>
          <w:lang w:val="en-US" w:eastAsia="en-GB"/>
          <w14:ligatures w14:val="none"/>
        </w:rPr>
        <w:t>2</w:t>
      </w:r>
      <w:r>
        <w:rPr>
          <w:rFonts w:ascii="Times New Roman" w:eastAsia="Times New Roman" w:hAnsi="Times New Roman" w:cs="Times New Roman"/>
          <w:color w:val="1F1F1F"/>
          <w:kern w:val="0"/>
          <w:shd w:val="clear" w:color="auto" w:fill="FFFFFF"/>
          <w:lang w:val="en-US" w:eastAsia="en-GB"/>
          <w14:ligatures w14:val="none"/>
        </w:rPr>
        <w:t xml:space="preserve"> </w:t>
      </w:r>
    </w:p>
    <w:p w14:paraId="1208C095" w14:textId="3736763A" w:rsidR="00C72DB2" w:rsidRPr="00914F89" w:rsidRDefault="00AF5C40" w:rsidP="00C72DB2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en-GB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en-GB"/>
                  <w14:ligatures w14:val="none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en-GB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en-GB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en-GB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en-GB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en-GB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en-GB"/>
                  <w14:ligatures w14:val="none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en-GB"/>
                  <w14:ligatures w14:val="none"/>
                </w:rPr>
              </m:ctrlPr>
            </m:den>
          </m:f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en-GB"/>
                  <w14:ligatures w14:val="none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en-GB"/>
                      <w14:ligatures w14:val="none"/>
                    </w:rPr>
                    <m:t>i=1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eastAsia="en-GB"/>
                      <w14:ligatures w14:val="none"/>
                    </w:rPr>
                  </m:ctrlPr>
                </m:sub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en-GB"/>
                      <w14:ligatures w14:val="none"/>
                    </w:rPr>
                    <m:t>n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eastAsia="en-GB"/>
                      <w14:ligatures w14:val="none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8"/>
                          <w:lang w:eastAsia="en-GB"/>
                          <w14:ligatures w14:val="non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8"/>
                              <w:szCs w:val="28"/>
                              <w:lang w:eastAsia="en-GB"/>
                              <w14:ligatures w14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eastAsia="en-GB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28"/>
                                  <w:szCs w:val="28"/>
                                  <w:lang w:eastAsia="en-GB"/>
                                  <w14:ligatures w14:val="none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28"/>
                                  <w:szCs w:val="28"/>
                                  <w:lang w:eastAsia="en-GB"/>
                                  <w14:ligatures w14:val="none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8"/>
                              <w:lang w:eastAsia="en-GB"/>
                              <w14:ligatures w14:val="none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eastAsia="en-GB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28"/>
                                  <w:szCs w:val="28"/>
                                  <w:lang w:eastAsia="en-GB"/>
                                  <w14:ligatures w14:val="none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28"/>
                                  <w:szCs w:val="28"/>
                                  <w:lang w:eastAsia="en-GB"/>
                                  <w14:ligatures w14:val="none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en-GB"/>
                          <w14:ligatures w14:val="none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eastAsia="en-GB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en-GB"/>
                  <w14:ligatures w14:val="none"/>
                </w:rPr>
              </m:ctrlPr>
            </m:num>
            <m:den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en-GB"/>
                      <w14:ligatures w14:val="none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en-GB"/>
                      <w14:ligatures w14:val="none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en-GB"/>
                      <w14:ligatures w14:val="none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8"/>
                          <w:lang w:eastAsia="en-GB"/>
                          <w14:ligatures w14:val="non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8"/>
                              <w:szCs w:val="28"/>
                              <w:lang w:eastAsia="en-GB"/>
                              <w14:ligatures w14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eastAsia="en-GB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28"/>
                                  <w:szCs w:val="28"/>
                                  <w:lang w:eastAsia="en-GB"/>
                                  <w14:ligatures w14:val="none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28"/>
                                  <w:szCs w:val="28"/>
                                  <w:lang w:eastAsia="en-GB"/>
                                  <w14:ligatures w14:val="none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8"/>
                              <w:lang w:eastAsia="en-GB"/>
                              <w14:ligatures w14:val="none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28"/>
                                  <w:szCs w:val="28"/>
                                  <w:lang w:eastAsia="en-GB"/>
                                  <w14:ligatures w14:val="none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28"/>
                                  <w:szCs w:val="28"/>
                                  <w:lang w:eastAsia="en-GB"/>
                                  <w14:ligatures w14:val="none"/>
                                </w:rPr>
                                <m:t>y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:lang w:eastAsia="en-GB"/>
                          <w14:ligatures w14:val="none"/>
                        </w:rPr>
                        <m:t>2</m:t>
                      </m:r>
                    </m:sup>
                  </m:sSup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en-GB"/>
                  <w14:ligatures w14:val="none"/>
                </w:rPr>
              </m:ctrlPr>
            </m:den>
          </m:f>
        </m:oMath>
      </m:oMathPara>
    </w:p>
    <w:p w14:paraId="3C73CEEC" w14:textId="5CA85141" w:rsidR="00914F89" w:rsidRPr="00C72DB2" w:rsidRDefault="00914F89" w:rsidP="00914F8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где </w:t>
      </w:r>
    </w:p>
    <w:p w14:paraId="74D0DBD5" w14:textId="2A3FA647" w:rsidR="00C72DB2" w:rsidRPr="00C72DB2" w:rsidRDefault="00AF5C40" w:rsidP="00AF5C40">
      <w:pPr>
        <w:spacing w:line="36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m:oMathPara>
        <m:oMath>
          <m:bar>
            <m:barPr>
              <m:pos m:val="top"/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en-GB"/>
                  <w14:ligatures w14:val="none"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en-GB"/>
                  <w14:ligatures w14:val="none"/>
                </w:rPr>
                <m:t>y</m:t>
              </m:r>
            </m:e>
          </m:ba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en-GB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en-GB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en-GB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en-GB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en-GB"/>
                  <w14:ligatures w14:val="none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en-GB"/>
                  <w14:ligatures w14:val="none"/>
                </w:rPr>
              </m:ctrlPr>
            </m:den>
          </m:f>
          <m:nary>
            <m:naryPr>
              <m:chr m:val="∑"/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en-GB"/>
                  <w14:ligatures w14:val="none"/>
                </w:rPr>
                <m:t>i=1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en-GB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en-GB"/>
                  <w14:ligatures w14:val="none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en-GB"/>
                  <w14:ligatures w14:val="none"/>
                </w:rPr>
              </m:ctrlP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en-GB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en-GB"/>
                      <w14:ligatures w14:val="none"/>
                    </w:rPr>
                    <m:t>i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en-GB"/>
                  <w14:ligatures w14:val="none"/>
                </w:rPr>
              </m:ctrlPr>
            </m:e>
          </m:nary>
        </m:oMath>
      </m:oMathPara>
    </w:p>
    <w:p w14:paraId="7307630D" w14:textId="77777777" w:rsidR="00C72DB2" w:rsidRPr="00C72DB2" w:rsidRDefault="00C72DB2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В приведенных формулах </w:t>
      </w:r>
      <w:r w:rsidRPr="00C72DB2">
        <w:rPr>
          <w:rFonts w:ascii="Times New Roman" w:eastAsia="Times New Roman" w:hAnsi="Times New Roman" w:cs="Times New Roman"/>
          <w:i/>
          <w:iCs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y</w:t>
      </w:r>
      <w:r w:rsidRPr="00C72DB2">
        <w:rPr>
          <w:rFonts w:ascii="Times New Roman" w:eastAsia="Times New Roman" w:hAnsi="Times New Roman" w:cs="Times New Roman"/>
          <w:i/>
          <w:iCs/>
          <w:color w:val="1F1F1F"/>
          <w:kern w:val="0"/>
          <w:sz w:val="28"/>
          <w:szCs w:val="28"/>
          <w:shd w:val="clear" w:color="auto" w:fill="FFFFFF"/>
          <w:vertAlign w:val="subscript"/>
          <w:lang w:eastAsia="en-GB"/>
          <w14:ligatures w14:val="none"/>
        </w:rPr>
        <w:t>i</w:t>
      </w: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 - обозреваемое значение целевой переменной, </w:t>
      </w:r>
      <w:r w:rsidRPr="00C72DB2">
        <w:rPr>
          <w:rFonts w:ascii="Times New Roman" w:eastAsia="Times New Roman" w:hAnsi="Times New Roman" w:cs="Times New Roman"/>
          <w:i/>
          <w:iCs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f</w:t>
      </w:r>
      <w:r w:rsidRPr="00C72DB2">
        <w:rPr>
          <w:rFonts w:ascii="Times New Roman" w:eastAsia="Times New Roman" w:hAnsi="Times New Roman" w:cs="Times New Roman"/>
          <w:i/>
          <w:iCs/>
          <w:color w:val="1F1F1F"/>
          <w:kern w:val="0"/>
          <w:sz w:val="28"/>
          <w:szCs w:val="28"/>
          <w:shd w:val="clear" w:color="auto" w:fill="FFFFFF"/>
          <w:vertAlign w:val="subscript"/>
          <w:lang w:eastAsia="en-GB"/>
          <w14:ligatures w14:val="none"/>
        </w:rPr>
        <w:t>i</w:t>
      </w: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 - предсказанное значение, </w:t>
      </w:r>
      <w:r w:rsidRPr="00C72DB2">
        <w:rPr>
          <w:rFonts w:ascii="Times New Roman" w:eastAsia="Times New Roman" w:hAnsi="Times New Roman" w:cs="Times New Roman"/>
          <w:i/>
          <w:iCs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n </w:t>
      </w: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- размер выборки. Формула (6) представляет метод расчета среднего значения целевой переменной во всей представленной выборке данных.</w:t>
      </w:r>
    </w:p>
    <w:p w14:paraId="7D6FD05F" w14:textId="5D531622" w:rsidR="00C72DB2" w:rsidRPr="00C72DB2" w:rsidRDefault="00C72DB2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MAE и MSE позволяют оценить величину численного отклонения прогнозируемой величины переменной от обозреваемой, и поэтому по ним не </w:t>
      </w: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lastRenderedPageBreak/>
        <w:t xml:space="preserve">всегда можно полностью оценить, насколько точно выбранный алгоритм решает регрессионную задачу. Данные величины могут быть использованы в качестве параметров оценки доверительных интервалов, в пределах которых в предсказании присутствует разброс. Чем меньше такой интервал, тем выше точность. В то же время, коэффициент детерминации позволяет оценить, насколько хорошо модель МО аппроксимирует исходные данные.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1F1F1F"/>
                <w:kern w:val="0"/>
                <w:sz w:val="28"/>
                <w:szCs w:val="28"/>
                <w:shd w:val="clear" w:color="auto" w:fill="FFFFFF"/>
                <w:lang w:eastAsia="en-GB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1F1F1F"/>
                <w:kern w:val="0"/>
                <w:sz w:val="28"/>
                <w:szCs w:val="28"/>
                <w:shd w:val="clear" w:color="auto" w:fill="FFFFFF"/>
                <w:lang w:eastAsia="en-GB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1F1F1F"/>
                <w:kern w:val="0"/>
                <w:sz w:val="28"/>
                <w:szCs w:val="28"/>
                <w:shd w:val="clear" w:color="auto" w:fill="FFFFFF"/>
                <w:lang w:eastAsia="en-GB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1F1F1F"/>
            <w:kern w:val="0"/>
            <w:sz w:val="28"/>
            <w:szCs w:val="28"/>
            <w:shd w:val="clear" w:color="auto" w:fill="FFFFFF"/>
            <w:lang w:eastAsia="en-GB"/>
            <w14:ligatures w14:val="none"/>
          </w:rPr>
          <m:t>=1</m:t>
        </m:r>
      </m:oMath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 показывает, что модель осуществляет предсказание с идеальной точностью.</w:t>
      </w:r>
    </w:p>
    <w:p w14:paraId="4599C6DF" w14:textId="77777777" w:rsidR="00C72DB2" w:rsidRPr="00C72DB2" w:rsidRDefault="00C72DB2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Понимание методов, по которым происходит оценка эффективности и качества работы моделей обучения с учителем, дает возможность рассмотреть некоторые из наиболее распространенных алгоритмов классического МО, существующих на данный момент.  Первый тип алгоритмов - это линейные алгоритмы, основанные на методе наименьших квадратов (МНК), в которых осуществляется подбор линейного уравнения, позволяющего по набору входных параметров и коэффициентов к ним, подбираемых в процессе обучения, получать результаты, наиболее близкие к значению целевой переменной на обучающем наборе данных. Линейные модели регрессии работают методом непосредственного предсказания целевой переменной. В случае классификации линейным алгоритмом является логистическая регрессия, целью которой является подобрать уравнение такой прямой, у которой сумма квадратов расстояний от каждой обозреваемой точки до нее минимальна, то есть построить прямую, которая стремится наиболее точно разделить два класса. Примерами линейных алгоритмов классификации и регрессии являются  LinearRegression [11] - простая линейная регрессия по методу МНК, Ridge [12] - регрессия накладывающая ограничения на коэффициенты при построении уравнения, Lasso [13] - метод, основной тенденцией которого является сокращение количества ненулевых коэффициентов, что позволяет в некоторых случаях эффективно производить отбор параметров, влияющих на значение прогнозируемой величины , LogisticRegression [14] - алгоритм логистической регрессии.</w:t>
      </w:r>
    </w:p>
    <w:p w14:paraId="376F2451" w14:textId="77777777" w:rsidR="00C72DB2" w:rsidRPr="00C72DB2" w:rsidRDefault="00C72DB2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К следующей группе относятся алгоритмы, основанные на построении деревьев принятия решения. Дерево принятия решения - это граф, в узлах которого </w:t>
      </w: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lastRenderedPageBreak/>
        <w:t>находятся условия, в зависимости от которых так называем процесс принятия решения переходит в тот или другой узел. Условия в узлах формируются на основании обучающего набора  данных. Существуют алгоритмы как на базе одного дерева [15, 16], так и анасамблевые модели, которые сочетают в себе множество деревьев принятия решения, образуя случайный лес [17, 18]. Стратегия обучения алгоритмов случайного леса заключается в обучении множества деревьев принятия решения на различных подвыборках из общей обучающей выборки, и усреднении их предсказаний для повышения общей точности.</w:t>
      </w:r>
    </w:p>
    <w:p w14:paraId="3DD0FFF5" w14:textId="4097B884" w:rsidR="00C72DB2" w:rsidRPr="00C72DB2" w:rsidRDefault="00C72DB2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Еще одним распространенным методом является метод опорных векторов (SVM - support vector machines) [1</w:t>
      </w:r>
      <w:r w:rsidR="00E027D5" w:rsidRPr="00E027D5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ru-RU" w:eastAsia="en-GB"/>
          <w14:ligatures w14:val="none"/>
        </w:rPr>
        <w:t>8</w:t>
      </w: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]. Этот тип алгоритмов работает методом построения гиперплоскости - плоскости в многоразмерном пространстве параметров обучающей выборки, которая позволяет разделить образцы и осуществить эффективную классификацию.</w:t>
      </w:r>
    </w:p>
    <w:p w14:paraId="15F82D41" w14:textId="77777777" w:rsidR="00C72DB2" w:rsidRPr="00C72DB2" w:rsidRDefault="00C72DB2" w:rsidP="00837FE4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Обучение без учителя</w:t>
      </w:r>
    </w:p>
    <w:p w14:paraId="6CECC285" w14:textId="77777777" w:rsidR="00C72DB2" w:rsidRPr="00C72DB2" w:rsidRDefault="00C72DB2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Алгоритмы обучения без учителя как правило используются с целью анализа имеющихся данных для выявления тенденций и шаблонов, характерных для образцов в исследуемой выборке. С этой целью используются алгоритмы кластеризации, например, метод K-средних [20], который осуществляет группировку набора данных в количество кластеров K, которое задается исследователем. В каждом кластере имеется центроида -  значение, являющееся средним для всех образцов внутри кластера. Алгоритм подбирает центроиды таким образом, чтобы уменьшить сумму квадратов Евклидовых расстояний (7) внутри кластера [20].</w:t>
      </w:r>
    </w:p>
    <w:p w14:paraId="51EF5317" w14:textId="77777777" w:rsidR="00C72DB2" w:rsidRPr="00C72DB2" w:rsidRDefault="00C72DB2" w:rsidP="00C72DB2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S2 = i=1n(xi-j)2 </w:t>
      </w: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ab/>
      </w: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ab/>
        <w:t>(7)</w:t>
      </w:r>
    </w:p>
    <w:p w14:paraId="65536D0C" w14:textId="77777777" w:rsidR="00C72DB2" w:rsidRPr="00C72DB2" w:rsidRDefault="00C72DB2" w:rsidP="00C72DB2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где </w:t>
      </w:r>
      <w:r w:rsidRPr="00C72DB2">
        <w:rPr>
          <w:rFonts w:ascii="Times New Roman" w:eastAsia="Times New Roman" w:hAnsi="Times New Roman" w:cs="Times New Roman"/>
          <w:i/>
          <w:iCs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x </w:t>
      </w: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- координата </w:t>
      </w:r>
      <w:r w:rsidRPr="00C72DB2">
        <w:rPr>
          <w:rFonts w:ascii="Times New Roman" w:eastAsia="Times New Roman" w:hAnsi="Times New Roman" w:cs="Times New Roman"/>
          <w:i/>
          <w:iCs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i-</w:t>
      </w: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ой точки, </w:t>
      </w:r>
      <w:r w:rsidRPr="00C72DB2">
        <w:rPr>
          <w:rFonts w:ascii="Times New Roman" w:eastAsia="Times New Roman" w:hAnsi="Times New Roman" w:cs="Times New Roman"/>
          <w:i/>
          <w:iCs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 </w:t>
      </w: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- координата центроиды </w:t>
      </w:r>
      <w:r w:rsidRPr="00C72DB2">
        <w:rPr>
          <w:rFonts w:ascii="Times New Roman" w:eastAsia="Times New Roman" w:hAnsi="Times New Roman" w:cs="Times New Roman"/>
          <w:i/>
          <w:iCs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j-</w:t>
      </w: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го кластера.</w:t>
      </w:r>
    </w:p>
    <w:p w14:paraId="1A25FE1A" w14:textId="49DA6B04" w:rsidR="00C72DB2" w:rsidRPr="00C72DB2" w:rsidRDefault="00C72DB2" w:rsidP="00C72DB2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Однако, оценка Евклидовых расстояний может терять свою эффективность при работе с данными высокой размерности. В данном случае, могут применяться методы снижения размерности, такие как анализ главных компонент (PCA - principal components analysis) [21], multidimensional scaling (MDS) [22], t-</w:t>
      </w:r>
      <w:r w:rsidRPr="00C72DB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-Distributed Stochastic Neighbor Embedding (t-SNE) [23]. </w:t>
      </w:r>
    </w:p>
    <w:p w14:paraId="3E91DAF3" w14:textId="77777777" w:rsidR="00C72DB2" w:rsidRPr="00C72DB2" w:rsidRDefault="00C72DB2" w:rsidP="00C72DB2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lastRenderedPageBreak/>
        <w:t>Список использованных сокращений и условных обозначений</w:t>
      </w:r>
    </w:p>
    <w:p w14:paraId="7C897C42" w14:textId="77777777" w:rsidR="00C72DB2" w:rsidRPr="00C72DB2" w:rsidRDefault="00C72DB2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FTIR - инфракрасная спектроскопия с преобразованием Фурье</w:t>
      </w:r>
    </w:p>
    <w:p w14:paraId="4170E3F7" w14:textId="77777777" w:rsidR="00C72DB2" w:rsidRPr="00C72DB2" w:rsidRDefault="00C72DB2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ИК - инфракрасная спектроскопия</w:t>
      </w:r>
    </w:p>
    <w:p w14:paraId="22E65B77" w14:textId="77777777" w:rsidR="00C72DB2" w:rsidRPr="00C72DB2" w:rsidRDefault="00C72DB2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МО - машинное обучение</w:t>
      </w:r>
    </w:p>
    <w:p w14:paraId="7A4FAACF" w14:textId="77777777" w:rsidR="00C72DB2" w:rsidRPr="00C72DB2" w:rsidRDefault="00C72DB2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ЯМР - спектроскопия ядерного магнитного резонанса</w:t>
      </w:r>
    </w:p>
    <w:p w14:paraId="5D58CB72" w14:textId="77777777" w:rsidR="00C72DB2" w:rsidRDefault="00C72DB2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УФ спектроскопия - спектроскопия в ультрафиолетовом диапазоне</w:t>
      </w:r>
    </w:p>
    <w:p w14:paraId="020547DA" w14:textId="2027D8D4" w:rsidR="0098576F" w:rsidRPr="00C72DB2" w:rsidRDefault="0098576F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en-GB"/>
          <w14:ligatures w14:val="none"/>
        </w:rPr>
        <w:t xml:space="preserve">SMILES – simplified molecular input line entry </w:t>
      </w:r>
      <w:proofErr w:type="gramStart"/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en-GB"/>
          <w14:ligatures w14:val="none"/>
        </w:rPr>
        <w:t>system</w:t>
      </w:r>
      <w:proofErr w:type="gramEnd"/>
    </w:p>
    <w:p w14:paraId="3281C52F" w14:textId="77777777" w:rsidR="00C72DB2" w:rsidRPr="00C72DB2" w:rsidRDefault="00C72DB2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ROC - </w:t>
      </w:r>
      <w:r w:rsidRPr="00C72DB2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:shd w:val="clear" w:color="auto" w:fill="FFFFFF"/>
          <w:lang w:eastAsia="en-GB"/>
          <w14:ligatures w14:val="none"/>
        </w:rPr>
        <w:t>receiver operating characteristic curve</w:t>
      </w:r>
    </w:p>
    <w:p w14:paraId="37765DB6" w14:textId="77777777" w:rsidR="00C72DB2" w:rsidRPr="00C72DB2" w:rsidRDefault="00C72DB2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:shd w:val="clear" w:color="auto" w:fill="FFFFFF"/>
          <w:lang w:eastAsia="en-GB"/>
          <w14:ligatures w14:val="none"/>
        </w:rPr>
        <w:t>MAE - средняя абсолютная ошибка</w:t>
      </w:r>
    </w:p>
    <w:p w14:paraId="52F5ED73" w14:textId="77777777" w:rsidR="00C72DB2" w:rsidRPr="00C72DB2" w:rsidRDefault="00C72DB2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:shd w:val="clear" w:color="auto" w:fill="FFFFFF"/>
          <w:lang w:eastAsia="en-GB"/>
          <w14:ligatures w14:val="none"/>
        </w:rPr>
        <w:t>MSE - среднеквадратичная ошибка</w:t>
      </w:r>
    </w:p>
    <w:p w14:paraId="3FA348EB" w14:textId="77777777" w:rsidR="00C72DB2" w:rsidRPr="00C72DB2" w:rsidRDefault="00C72DB2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:shd w:val="clear" w:color="auto" w:fill="FFFFFF"/>
          <w:lang w:eastAsia="en-GB"/>
          <w14:ligatures w14:val="none"/>
        </w:rPr>
        <w:t>МНК - метод наименьших квадратов</w:t>
      </w:r>
    </w:p>
    <w:p w14:paraId="763127AD" w14:textId="77777777" w:rsidR="00C72DB2" w:rsidRPr="00C72DB2" w:rsidRDefault="00C72DB2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:shd w:val="clear" w:color="auto" w:fill="FFFFFF"/>
          <w:lang w:eastAsia="en-GB"/>
          <w14:ligatures w14:val="none"/>
        </w:rPr>
        <w:t>PCA - анализ главных компонент</w:t>
      </w:r>
    </w:p>
    <w:p w14:paraId="56CBFC8D" w14:textId="77777777" w:rsidR="00C72DB2" w:rsidRPr="00C72DB2" w:rsidRDefault="00C72DB2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:shd w:val="clear" w:color="auto" w:fill="FFFFFF"/>
          <w:lang w:eastAsia="en-GB"/>
          <w14:ligatures w14:val="none"/>
        </w:rPr>
        <w:t>MDS - multidimensional scaling</w:t>
      </w:r>
    </w:p>
    <w:p w14:paraId="6AA48BDB" w14:textId="77777777" w:rsidR="00C72DB2" w:rsidRPr="00C72DB2" w:rsidRDefault="00C72DB2" w:rsidP="00C72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t-SNE - </w:t>
      </w:r>
      <w:r w:rsidRPr="00C72DB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t>t-</w:t>
      </w:r>
      <w:r w:rsidRPr="00C72DB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en-GB"/>
          <w14:ligatures w14:val="none"/>
        </w:rPr>
        <w:t>-Distributed Stochastic Neighbor Embedding </w:t>
      </w:r>
    </w:p>
    <w:p w14:paraId="003F5A01" w14:textId="77777777" w:rsidR="0098576F" w:rsidRDefault="0098576F">
      <w:pP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en-GB"/>
          <w14:ligatures w14:val="none"/>
        </w:rPr>
        <w:br w:type="page"/>
      </w:r>
    </w:p>
    <w:p w14:paraId="45963A35" w14:textId="0289EC6A" w:rsidR="00C72DB2" w:rsidRDefault="00C72DB2" w:rsidP="0098576F">
      <w:pPr>
        <w:pStyle w:val="Heading2"/>
        <w:rPr>
          <w:rFonts w:eastAsia="Times New Roman"/>
          <w:shd w:val="clear" w:color="auto" w:fill="FFFFFF"/>
          <w:lang w:eastAsia="en-GB"/>
        </w:rPr>
      </w:pPr>
      <w:r w:rsidRPr="00C72DB2">
        <w:rPr>
          <w:rFonts w:eastAsia="Times New Roman"/>
          <w:shd w:val="clear" w:color="auto" w:fill="FFFFFF"/>
          <w:lang w:eastAsia="en-GB"/>
        </w:rPr>
        <w:lastRenderedPageBreak/>
        <w:t>Список использованных источников</w:t>
      </w:r>
    </w:p>
    <w:p w14:paraId="62B49A45" w14:textId="77777777" w:rsidR="0098576F" w:rsidRPr="0098576F" w:rsidRDefault="0098576F" w:rsidP="0098576F">
      <w:pPr>
        <w:rPr>
          <w:lang w:eastAsia="en-GB"/>
        </w:rPr>
      </w:pPr>
    </w:p>
    <w:p w14:paraId="2F43E171" w14:textId="77777777" w:rsidR="00C72DB2" w:rsidRPr="00C72DB2" w:rsidRDefault="00C72DB2" w:rsidP="00C72DB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Зверева, И. С., Денисов, И. С., Зубчонок, Н. В., &amp; Ермолаева, Т. Н. (2019). ИЗУЧЕНИЕ КАЧЕСТВА РАСТИТЕЛЬНЫХ МАСЕЛ МЕТОДАМИ ИК-СПЕКТРОМЕТРИИ И ГАЗОВОЙ ХРОМАТОГРАФИИ С МАСС-СПЕКТРОМЕТРИЧЕСКИМ ДЕТЕКТОРОМ. In </w:t>
      </w:r>
      <w:r w:rsidRPr="00C72DB2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shd w:val="clear" w:color="auto" w:fill="FFFFFF"/>
          <w:lang w:eastAsia="en-GB"/>
          <w14:ligatures w14:val="none"/>
        </w:rPr>
        <w:t>XXIX Российская молодежная научная конференция «Проблемы теоретической и экспериментальной химии».—Екатеринбург, 2019</w:t>
      </w:r>
      <w:r w:rsidRPr="00C72D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 (pp. 94-94). Издательство Уральского университета.</w:t>
      </w:r>
    </w:p>
    <w:p w14:paraId="5A2C6BE3" w14:textId="77777777" w:rsidR="00C72DB2" w:rsidRPr="00C72DB2" w:rsidRDefault="00C72DB2" w:rsidP="00C72DB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Ильина, Г. Г., Ламоткин, С. А., Колногоров, К. П., &amp; Скаковский, Е. Д. (2014). Идентификация состава растительных масел хроматографическими и спектральными методами. </w:t>
      </w:r>
      <w:r w:rsidRPr="00C72DB2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shd w:val="clear" w:color="auto" w:fill="FFFFFF"/>
          <w:lang w:eastAsia="en-GB"/>
          <w14:ligatures w14:val="none"/>
        </w:rPr>
        <w:t>Труды БГТУ. Серия 2: Химические технологии, биотехнология, геоэкология</w:t>
      </w:r>
      <w:r w:rsidRPr="00C72D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en-GB"/>
          <w14:ligatures w14:val="none"/>
        </w:rPr>
        <w:t>, (4 (168)), 207-210.</w:t>
      </w:r>
    </w:p>
    <w:p w14:paraId="7533DA60" w14:textId="77777777" w:rsidR="00C72DB2" w:rsidRPr="00C72DB2" w:rsidRDefault="00C72DB2" w:rsidP="00C72DB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Дейнека, В. И., Дейнека, Л. А., &amp; Сорокопудов, В. Н. (2009). Обращенно-фазовая ВЭЖХ в анализе растительных масел. Метод контроля подлинности и установления фальсификации облепихового масла. </w:t>
      </w:r>
      <w:r w:rsidRPr="00C72DB2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shd w:val="clear" w:color="auto" w:fill="FFFFFF"/>
          <w:lang w:eastAsia="en-GB"/>
          <w14:ligatures w14:val="none"/>
        </w:rPr>
        <w:t>Химико-фармацевтический журнал</w:t>
      </w:r>
      <w:r w:rsidRPr="00C72D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, </w:t>
      </w:r>
      <w:r w:rsidRPr="00C72DB2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shd w:val="clear" w:color="auto" w:fill="FFFFFF"/>
          <w:lang w:eastAsia="en-GB"/>
          <w14:ligatures w14:val="none"/>
        </w:rPr>
        <w:t>43</w:t>
      </w:r>
      <w:r w:rsidRPr="00C72D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en-GB"/>
          <w14:ligatures w14:val="none"/>
        </w:rPr>
        <w:t>(1), 33-36.</w:t>
      </w:r>
    </w:p>
    <w:p w14:paraId="614D78D4" w14:textId="77777777" w:rsidR="00C72DB2" w:rsidRPr="00C72DB2" w:rsidRDefault="00C72DB2" w:rsidP="00C72DB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Alexa, E., Dragomirescu, A., Pop, G., Jianu, C., &amp; Dragos, D. (2009). The use of FT-IR spectroscopy in the identification of vegetable oils adulteration. </w:t>
      </w:r>
      <w:r w:rsidRPr="00C72DB2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shd w:val="clear" w:color="auto" w:fill="FFFFFF"/>
          <w:lang w:eastAsia="en-GB"/>
          <w14:ligatures w14:val="none"/>
        </w:rPr>
        <w:t>J. Food Agric. Environ</w:t>
      </w:r>
      <w:r w:rsidRPr="00C72D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, </w:t>
      </w:r>
      <w:r w:rsidRPr="00C72DB2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shd w:val="clear" w:color="auto" w:fill="FFFFFF"/>
          <w:lang w:eastAsia="en-GB"/>
          <w14:ligatures w14:val="none"/>
        </w:rPr>
        <w:t>7</w:t>
      </w:r>
      <w:r w:rsidRPr="00C72D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en-GB"/>
          <w14:ligatures w14:val="none"/>
        </w:rPr>
        <w:t>(2), 20-24.</w:t>
      </w:r>
    </w:p>
    <w:p w14:paraId="742142B1" w14:textId="77777777" w:rsidR="00C72DB2" w:rsidRPr="00C72DB2" w:rsidRDefault="00C72DB2" w:rsidP="00C72DB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da Silveira, R., Vágula, J. M., de Lima Figueiredo, I., Claus, T., Galuch, M. B., Junior, O. O. S., &amp; Visentainer, J. V. (2017). Rapid methodology via mass spectrometry to quantify addition of soybean oil in extra virgin olive oil: A comparison with traditional methods adopted by food industry to identify fraud. </w:t>
      </w:r>
      <w:r w:rsidRPr="00C72DB2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shd w:val="clear" w:color="auto" w:fill="FFFFFF"/>
          <w:lang w:eastAsia="en-GB"/>
          <w14:ligatures w14:val="none"/>
        </w:rPr>
        <w:t>Food Research International</w:t>
      </w:r>
      <w:r w:rsidRPr="00C72D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, </w:t>
      </w:r>
      <w:r w:rsidRPr="00C72DB2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shd w:val="clear" w:color="auto" w:fill="FFFFFF"/>
          <w:lang w:eastAsia="en-GB"/>
          <w14:ligatures w14:val="none"/>
        </w:rPr>
        <w:t>102</w:t>
      </w:r>
      <w:r w:rsidRPr="00C72D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en-GB"/>
          <w14:ligatures w14:val="none"/>
        </w:rPr>
        <w:t>, 43-50.</w:t>
      </w:r>
    </w:p>
    <w:p w14:paraId="3B086CCC" w14:textId="77777777" w:rsidR="00C72DB2" w:rsidRPr="00C72DB2" w:rsidRDefault="00C72DB2" w:rsidP="00C72DB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Butler, K. T., Davies, D. W., Cartwright, H., Isayev, O., &amp; Walsh, A. (2018). Machine learning for molecular and materials science. </w:t>
      </w:r>
      <w:r w:rsidRPr="00C72DB2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shd w:val="clear" w:color="auto" w:fill="FFFFFF"/>
          <w:lang w:eastAsia="en-GB"/>
          <w14:ligatures w14:val="none"/>
        </w:rPr>
        <w:t>Nature</w:t>
      </w:r>
      <w:r w:rsidRPr="00C72D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, </w:t>
      </w:r>
      <w:r w:rsidRPr="00C72DB2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shd w:val="clear" w:color="auto" w:fill="FFFFFF"/>
          <w:lang w:eastAsia="en-GB"/>
          <w14:ligatures w14:val="none"/>
        </w:rPr>
        <w:t>559</w:t>
      </w:r>
      <w:r w:rsidRPr="00C72D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en-GB"/>
          <w14:ligatures w14:val="none"/>
        </w:rPr>
        <w:t>(7715), 547-555.</w:t>
      </w:r>
    </w:p>
    <w:p w14:paraId="4D42A88C" w14:textId="77777777" w:rsidR="00C72DB2" w:rsidRPr="00C72DB2" w:rsidRDefault="00C72DB2" w:rsidP="00C72DB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Kireeva, N. et al. Generative topographic mapping (GTM): universal tool for data visualization, structure-activity modeling and dataset comparison. </w:t>
      </w:r>
      <w:r w:rsidRPr="00C72DB2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shd w:val="clear" w:color="auto" w:fill="FFFFFF"/>
          <w:lang w:eastAsia="en-GB"/>
          <w14:ligatures w14:val="none"/>
        </w:rPr>
        <w:t>Mol. Inform</w:t>
      </w:r>
      <w:r w:rsidRPr="00C72D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en-GB"/>
          <w14:ligatures w14:val="none"/>
        </w:rPr>
        <w:t>. 31, 301–312 (2012).</w:t>
      </w:r>
    </w:p>
    <w:p w14:paraId="1148E5EB" w14:textId="77777777" w:rsidR="00C72DB2" w:rsidRPr="00C72DB2" w:rsidRDefault="00C72DB2" w:rsidP="00C72DB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en-GB"/>
          <w14:ligatures w14:val="none"/>
        </w:rPr>
        <w:lastRenderedPageBreak/>
        <w:t xml:space="preserve">Fourches, D., Muratov, E. &amp; Tropsha, A. Trust, but verify: on the importance of chemical structure curation in cheminformatics and QSAR modeling research. </w:t>
      </w:r>
      <w:r w:rsidRPr="00C72DB2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shd w:val="clear" w:color="auto" w:fill="FFFFFF"/>
          <w:lang w:eastAsia="en-GB"/>
          <w14:ligatures w14:val="none"/>
        </w:rPr>
        <w:t>J. Chem. Inf. Model</w:t>
      </w:r>
      <w:r w:rsidRPr="00C72D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en-GB"/>
          <w14:ligatures w14:val="none"/>
        </w:rPr>
        <w:t>. 50, 1189–1204 (2010).</w:t>
      </w:r>
    </w:p>
    <w:p w14:paraId="34A920CB" w14:textId="77777777" w:rsidR="00C72DB2" w:rsidRPr="00C72DB2" w:rsidRDefault="00C72DB2" w:rsidP="00C72DB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GB"/>
          <w14:ligatures w14:val="none"/>
        </w:rPr>
      </w:pPr>
      <w:r w:rsidRPr="00C72D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Kumar, R., &amp; Indrayan, A. (2011). Receiver operating characteristic (ROC) curve for medical researchers. </w:t>
      </w:r>
      <w:r w:rsidRPr="00C72DB2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shd w:val="clear" w:color="auto" w:fill="FFFFFF"/>
          <w:lang w:eastAsia="en-GB"/>
          <w14:ligatures w14:val="none"/>
        </w:rPr>
        <w:t>Indian pediatrics</w:t>
      </w:r>
      <w:r w:rsidRPr="00C72D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, </w:t>
      </w:r>
      <w:r w:rsidRPr="00C72DB2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shd w:val="clear" w:color="auto" w:fill="FFFFFF"/>
          <w:lang w:eastAsia="en-GB"/>
          <w14:ligatures w14:val="none"/>
        </w:rPr>
        <w:t>48</w:t>
      </w:r>
      <w:r w:rsidRPr="00C72D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en-GB"/>
          <w14:ligatures w14:val="none"/>
        </w:rPr>
        <w:t>, 277-287.</w:t>
      </w:r>
    </w:p>
    <w:p w14:paraId="575BDCF8" w14:textId="424D527C" w:rsidR="00C72DB2" w:rsidRPr="00FC60E9" w:rsidRDefault="00FC60E9" w:rsidP="00C72DB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GB"/>
          <w14:ligatures w14:val="none"/>
        </w:rPr>
      </w:pPr>
      <w:r w:rsidRPr="00FC60E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val="en-US" w:eastAsia="en-GB"/>
          <w14:ligatures w14:val="none"/>
        </w:rPr>
        <w:t xml:space="preserve"> </w:t>
      </w:r>
      <w:r w:rsidR="00C72DB2" w:rsidRPr="00C72DB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Pedregosa </w:t>
      </w:r>
      <w:r w:rsidR="00C72DB2" w:rsidRPr="00C72DB2">
        <w:rPr>
          <w:rFonts w:ascii="Times New Roman" w:eastAsia="Times New Roman" w:hAnsi="Times New Roman" w:cs="Times New Roman"/>
          <w:i/>
          <w:iCs/>
          <w:color w:val="212529"/>
          <w:kern w:val="0"/>
          <w:sz w:val="28"/>
          <w:szCs w:val="28"/>
          <w:shd w:val="clear" w:color="auto" w:fill="FFFFFF"/>
          <w:lang w:eastAsia="en-GB"/>
          <w14:ligatures w14:val="none"/>
        </w:rPr>
        <w:t>et al.</w:t>
      </w:r>
      <w:r w:rsidR="00C72DB2" w:rsidRPr="00C72DB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, </w:t>
      </w:r>
      <w:r w:rsidR="00C72DB2" w:rsidRPr="00C72D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en-GB"/>
          <w14:ligatures w14:val="none"/>
        </w:rPr>
        <w:t>Scikit-learn: Machine Learning in Python</w:t>
      </w:r>
      <w:r w:rsidR="00C72DB2" w:rsidRPr="00C72DB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en-GB"/>
          <w14:ligatures w14:val="none"/>
        </w:rPr>
        <w:t xml:space="preserve"> JMLR 12, pp. 2825-2830, 2011.</w:t>
      </w:r>
    </w:p>
    <w:p w14:paraId="422723E4" w14:textId="7A1FD1FC" w:rsidR="00FC60E9" w:rsidRDefault="00FC60E9" w:rsidP="00C72DB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GB"/>
          <w14:ligatures w14:val="none"/>
        </w:rPr>
      </w:pPr>
      <w:r w:rsidRPr="00FC60E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 w:eastAsia="en-GB"/>
          <w14:ligatures w14:val="none"/>
        </w:rPr>
        <w:t xml:space="preserve"> </w:t>
      </w:r>
      <w:r w:rsidRPr="00FC60E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GB"/>
          <w14:ligatures w14:val="none"/>
        </w:rPr>
        <w:t>Jumper, J., Evans, R., Pritzel, A. </w:t>
      </w:r>
      <w:r w:rsidRPr="00FC60E9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 w:eastAsia="en-GB"/>
          <w14:ligatures w14:val="none"/>
        </w:rPr>
        <w:t>et al.</w:t>
      </w:r>
      <w:r w:rsidRPr="00FC60E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GB"/>
          <w14:ligatures w14:val="none"/>
        </w:rPr>
        <w:t> Highly accurate protein structure prediction with AlphaFold. </w:t>
      </w:r>
      <w:r w:rsidRPr="00FC60E9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 w:eastAsia="en-GB"/>
          <w14:ligatures w14:val="none"/>
        </w:rPr>
        <w:t>Nature</w:t>
      </w:r>
      <w:r w:rsidRPr="00FC60E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GB"/>
          <w14:ligatures w14:val="none"/>
        </w:rPr>
        <w:t> </w:t>
      </w:r>
      <w:r w:rsidRPr="00FC60E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en-GB"/>
          <w14:ligatures w14:val="none"/>
        </w:rPr>
        <w:t>596</w:t>
      </w:r>
      <w:r w:rsidRPr="00FC60E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GB"/>
          <w14:ligatures w14:val="none"/>
        </w:rPr>
        <w:t xml:space="preserve">, 583–589 (2021). </w:t>
      </w:r>
      <w:hyperlink r:id="rId9" w:history="1">
        <w:r w:rsidR="004622BB" w:rsidRPr="00566F24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:lang w:eastAsia="en-GB"/>
            <w14:ligatures w14:val="none"/>
          </w:rPr>
          <w:t>https://doi.org/10.1038/s41586-021-03819-2</w:t>
        </w:r>
      </w:hyperlink>
    </w:p>
    <w:p w14:paraId="449EEFB4" w14:textId="7EEC3698" w:rsidR="00C72DB2" w:rsidRPr="00644CCD" w:rsidRDefault="004622BB" w:rsidP="004622BB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 w:eastAsia="en-GB"/>
          <w14:ligatures w14:val="none"/>
        </w:rPr>
        <w:t xml:space="preserve"> </w:t>
      </w:r>
      <w:r w:rsidRPr="004622B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GB"/>
          <w14:ligatures w14:val="none"/>
        </w:rPr>
        <w:t>Townsend, J., Micucci, C.P., Hymel, J.H. </w:t>
      </w:r>
      <w:r w:rsidRPr="004622BB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 w:eastAsia="en-GB"/>
          <w14:ligatures w14:val="none"/>
        </w:rPr>
        <w:t>et al.</w:t>
      </w:r>
      <w:r w:rsidRPr="004622B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GB"/>
          <w14:ligatures w14:val="none"/>
        </w:rPr>
        <w:t> Representation of molecular structures with persistent homology for machine learning applications in chemistry. </w:t>
      </w:r>
      <w:r w:rsidRPr="004622BB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 w:eastAsia="en-GB"/>
          <w14:ligatures w14:val="none"/>
        </w:rPr>
        <w:t>Nat Commun</w:t>
      </w:r>
      <w:r w:rsidRPr="004622B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GB"/>
          <w14:ligatures w14:val="none"/>
        </w:rPr>
        <w:t> </w:t>
      </w:r>
      <w:r w:rsidRPr="004622BB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en-GB"/>
          <w14:ligatures w14:val="none"/>
        </w:rPr>
        <w:t>11</w:t>
      </w:r>
      <w:r w:rsidRPr="004622B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GB"/>
          <w14:ligatures w14:val="none"/>
        </w:rPr>
        <w:t xml:space="preserve">, 3230 (2020). </w:t>
      </w:r>
      <w:hyperlink r:id="rId10" w:history="1">
        <w:r w:rsidRPr="00566F24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:lang w:eastAsia="en-GB"/>
            <w14:ligatures w14:val="none"/>
          </w:rPr>
          <w:t>https://doi.org/10.1038/s41467-020-17035-5</w:t>
        </w:r>
      </w:hyperlink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 w:eastAsia="en-GB"/>
          <w14:ligatures w14:val="none"/>
        </w:rPr>
        <w:t xml:space="preserve"> </w:t>
      </w:r>
    </w:p>
    <w:p w14:paraId="72349690" w14:textId="1DCA774A" w:rsidR="00644CCD" w:rsidRDefault="00644CCD" w:rsidP="004622BB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/>
          <w14:ligatures w14:val="none"/>
        </w:rPr>
        <w:t xml:space="preserve"> </w:t>
      </w:r>
      <w:r w:rsidRPr="00644CC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Weininger, D. (1988). SMILES, a chemical language and information system. 1. Introduction to methodology and encoding rules. </w:t>
      </w:r>
      <w:r w:rsidRPr="00644CC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GB"/>
          <w14:ligatures w14:val="none"/>
        </w:rPr>
        <w:t>Journal of chemical information and computer sciences</w:t>
      </w:r>
      <w:r w:rsidRPr="00644CC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, </w:t>
      </w:r>
      <w:r w:rsidRPr="00644CC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GB"/>
          <w14:ligatures w14:val="none"/>
        </w:rPr>
        <w:t>28</w:t>
      </w:r>
      <w:r w:rsidRPr="00644CCD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(1), 31-36.</w:t>
      </w:r>
    </w:p>
    <w:p w14:paraId="4BB5C279" w14:textId="36CC112E" w:rsidR="00DE7F8F" w:rsidRDefault="00DE7F8F" w:rsidP="004622BB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/>
          <w14:ligatures w14:val="none"/>
        </w:rPr>
        <w:t xml:space="preserve"> </w:t>
      </w:r>
      <w:r w:rsidRPr="00DE7F8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Vamathevan, J., Clark, D., Czodrowski, P., Dunham, I., Ferran, E., Lee, G., ... &amp; Zhao, S. (2019). Applications of machine learning in drug discovery and development. </w:t>
      </w:r>
      <w:r w:rsidRPr="00DE7F8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GB"/>
          <w14:ligatures w14:val="none"/>
        </w:rPr>
        <w:t>Nature reviews Drug discovery</w:t>
      </w:r>
      <w:r w:rsidRPr="00DE7F8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, </w:t>
      </w:r>
      <w:r w:rsidRPr="00DE7F8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GB"/>
          <w14:ligatures w14:val="none"/>
        </w:rPr>
        <w:t>18</w:t>
      </w:r>
      <w:r w:rsidRPr="00DE7F8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(6), 463-477.</w:t>
      </w:r>
    </w:p>
    <w:p w14:paraId="3D457206" w14:textId="43ECAD9E" w:rsidR="00DE7F8F" w:rsidRDefault="00DE7F8F" w:rsidP="004622BB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/>
          <w14:ligatures w14:val="none"/>
        </w:rPr>
        <w:t xml:space="preserve"> </w:t>
      </w:r>
      <w:r w:rsidRPr="00DE7F8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Shirokii, N., Din, Y., Petrov, I., Seregin, Y., Sirotenko, S., Razlivina, J., ... &amp; Vinogradov, V. (2023). Quantitative prediction of inorganic nanomaterial cellular toxicity via machine learning. </w:t>
      </w:r>
      <w:r w:rsidRPr="00DE7F8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GB"/>
          <w14:ligatures w14:val="none"/>
        </w:rPr>
        <w:t>Small</w:t>
      </w:r>
      <w:r w:rsidRPr="00DE7F8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, </w:t>
      </w:r>
      <w:r w:rsidRPr="00DE7F8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GB"/>
          <w14:ligatures w14:val="none"/>
        </w:rPr>
        <w:t>19</w:t>
      </w:r>
      <w:r w:rsidRPr="00DE7F8F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(19), 2207106.</w:t>
      </w:r>
    </w:p>
    <w:p w14:paraId="72128646" w14:textId="5EB1DA67" w:rsidR="000D24C7" w:rsidRDefault="000D24C7" w:rsidP="004622BB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D24C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r w:rsidRPr="000D24C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Staszak, M., Staszak, K., Wieszczycka, K., Bajek, A., Roszkowski, K., &amp; Tylkowski, B. (2022). Machine learning in drug design: Use of artificial intelligence to explore the chemical structure–biological activity relationship. </w:t>
      </w:r>
      <w:r w:rsidRPr="000D24C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GB"/>
          <w14:ligatures w14:val="none"/>
        </w:rPr>
        <w:t>Wiley Interdisciplinary Reviews: Computational Molecular Science</w:t>
      </w:r>
      <w:r w:rsidRPr="000D24C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, </w:t>
      </w:r>
      <w:r w:rsidRPr="000D24C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GB"/>
          <w14:ligatures w14:val="none"/>
        </w:rPr>
        <w:t>12</w:t>
      </w:r>
      <w:r w:rsidRPr="000D24C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(2), e1568.</w:t>
      </w:r>
    </w:p>
    <w:p w14:paraId="3C3662F7" w14:textId="38159E7C" w:rsidR="00E701AB" w:rsidRDefault="00E701AB" w:rsidP="004622BB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/>
          <w14:ligatures w14:val="none"/>
        </w:rPr>
        <w:lastRenderedPageBreak/>
        <w:t xml:space="preserve"> </w:t>
      </w:r>
      <w:r w:rsidRPr="00E701A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Priya, S., Tripathi, G., Singh, D. B., Jain, P., &amp; Kumar, A. (2022). Machine learning approaches and their applications in drug discovery and design. </w:t>
      </w:r>
      <w:r w:rsidRPr="00E701A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GB"/>
          <w14:ligatures w14:val="none"/>
        </w:rPr>
        <w:t>Chemical Biology &amp; Drug Design</w:t>
      </w:r>
      <w:r w:rsidRPr="00E701A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, </w:t>
      </w:r>
      <w:r w:rsidRPr="00E701A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GB"/>
          <w14:ligatures w14:val="none"/>
        </w:rPr>
        <w:t>100</w:t>
      </w:r>
      <w:r w:rsidRPr="00E701A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(1), 136-153.</w:t>
      </w:r>
    </w:p>
    <w:p w14:paraId="723ED3FF" w14:textId="0AD280B5" w:rsidR="00E027D5" w:rsidRDefault="00E027D5" w:rsidP="004622BB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E027D5">
        <w:rPr>
          <w:rFonts w:ascii="Times New Roman" w:eastAsia="Times New Roman" w:hAnsi="Times New Roman" w:cs="Times New Roman"/>
          <w:kern w:val="0"/>
          <w:sz w:val="28"/>
          <w:szCs w:val="28"/>
          <w:lang w:val="fi-FI" w:eastAsia="en-GB"/>
          <w14:ligatures w14:val="none"/>
        </w:rPr>
        <w:t xml:space="preserve"> </w:t>
      </w:r>
      <w:r w:rsidRPr="00E027D5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Jeon, J., Nim, S., Teyra, J., Datti, A., Wrana, J. L., Sidhu, S. S., ... &amp; Kim, P. M. (2014). A systematic approach to identify novel cancer drug targets using machine learning, inhibitor design and high-throughput screening. </w:t>
      </w:r>
      <w:r w:rsidRPr="00E027D5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GB"/>
          <w14:ligatures w14:val="none"/>
        </w:rPr>
        <w:t>Genome medicine</w:t>
      </w:r>
      <w:r w:rsidRPr="00E027D5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, </w:t>
      </w:r>
      <w:r w:rsidRPr="00E027D5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GB"/>
          <w14:ligatures w14:val="none"/>
        </w:rPr>
        <w:t>6</w:t>
      </w:r>
      <w:r w:rsidRPr="00E027D5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, 1-18.</w:t>
      </w:r>
    </w:p>
    <w:p w14:paraId="08DE0246" w14:textId="77777777" w:rsidR="00E027D5" w:rsidRPr="00C72DB2" w:rsidRDefault="00E027D5" w:rsidP="004622BB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14:paraId="1BAE73B3" w14:textId="0918FF23" w:rsidR="004208DA" w:rsidRPr="00C72DB2" w:rsidRDefault="004208DA" w:rsidP="00C72D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4208DA" w:rsidRPr="00C72DB2" w:rsidSect="0014345B">
      <w:footerReference w:type="even" r:id="rId11"/>
      <w:footerReference w:type="default" r:id="rId12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30602" w14:textId="77777777" w:rsidR="003B6E1D" w:rsidRDefault="003B6E1D" w:rsidP="000E56CA">
      <w:r>
        <w:separator/>
      </w:r>
    </w:p>
  </w:endnote>
  <w:endnote w:type="continuationSeparator" w:id="0">
    <w:p w14:paraId="66D5DD89" w14:textId="77777777" w:rsidR="003B6E1D" w:rsidRDefault="003B6E1D" w:rsidP="000E5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2937066"/>
      <w:docPartObj>
        <w:docPartGallery w:val="Page Numbers (Bottom of Page)"/>
        <w:docPartUnique/>
      </w:docPartObj>
    </w:sdtPr>
    <w:sdtContent>
      <w:p w14:paraId="03E1D178" w14:textId="368407CE" w:rsidR="000E56CA" w:rsidRDefault="000E56CA" w:rsidP="009C238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B7DE8F" w14:textId="77777777" w:rsidR="000E56CA" w:rsidRDefault="000E56CA" w:rsidP="000E56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15221221"/>
      <w:docPartObj>
        <w:docPartGallery w:val="Page Numbers (Bottom of Page)"/>
        <w:docPartUnique/>
      </w:docPartObj>
    </w:sdtPr>
    <w:sdtContent>
      <w:p w14:paraId="51244878" w14:textId="4D17015B" w:rsidR="000E56CA" w:rsidRDefault="000E56CA" w:rsidP="009C238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365BD83" w14:textId="77777777" w:rsidR="000E56CA" w:rsidRDefault="000E56CA" w:rsidP="000E56C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81EC9" w14:textId="77777777" w:rsidR="003B6E1D" w:rsidRDefault="003B6E1D" w:rsidP="000E56CA">
      <w:r>
        <w:separator/>
      </w:r>
    </w:p>
  </w:footnote>
  <w:footnote w:type="continuationSeparator" w:id="0">
    <w:p w14:paraId="0B52E28D" w14:textId="77777777" w:rsidR="003B6E1D" w:rsidRDefault="003B6E1D" w:rsidP="000E5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09F"/>
    <w:multiLevelType w:val="multilevel"/>
    <w:tmpl w:val="E45A0E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F1F1F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  <w:color w:val="1F1F1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F1F1F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1F1F1F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1F1F1F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1F1F1F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1F1F1F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1F1F1F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1F1F1F"/>
      </w:rPr>
    </w:lvl>
  </w:abstractNum>
  <w:abstractNum w:abstractNumId="1" w15:restartNumberingAfterBreak="0">
    <w:nsid w:val="0C401716"/>
    <w:multiLevelType w:val="hybridMultilevel"/>
    <w:tmpl w:val="857A1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8490A"/>
    <w:multiLevelType w:val="multilevel"/>
    <w:tmpl w:val="6DF49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66BF2"/>
    <w:multiLevelType w:val="hybridMultilevel"/>
    <w:tmpl w:val="069A89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7006E"/>
    <w:multiLevelType w:val="multilevel"/>
    <w:tmpl w:val="4B8A4A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43311E7"/>
    <w:multiLevelType w:val="hybridMultilevel"/>
    <w:tmpl w:val="E46218A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174A1E"/>
    <w:multiLevelType w:val="hybridMultilevel"/>
    <w:tmpl w:val="B2CA5FDE"/>
    <w:lvl w:ilvl="0" w:tplc="D3E47C3E">
      <w:start w:val="1"/>
      <w:numFmt w:val="decimal"/>
      <w:lvlText w:val="%1."/>
      <w:lvlJc w:val="left"/>
      <w:pPr>
        <w:ind w:left="1080" w:hanging="360"/>
      </w:pPr>
      <w:rPr>
        <w:rFonts w:hint="default"/>
        <w:color w:val="1F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7505CB"/>
    <w:multiLevelType w:val="hybridMultilevel"/>
    <w:tmpl w:val="1416EB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A231A"/>
    <w:multiLevelType w:val="hybridMultilevel"/>
    <w:tmpl w:val="E46218A0"/>
    <w:lvl w:ilvl="0" w:tplc="7512BA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B90604"/>
    <w:multiLevelType w:val="hybridMultilevel"/>
    <w:tmpl w:val="8DFC86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989490">
    <w:abstractNumId w:val="3"/>
  </w:num>
  <w:num w:numId="2" w16cid:durableId="1403262198">
    <w:abstractNumId w:val="1"/>
  </w:num>
  <w:num w:numId="3" w16cid:durableId="1389911447">
    <w:abstractNumId w:val="9"/>
  </w:num>
  <w:num w:numId="4" w16cid:durableId="1758936914">
    <w:abstractNumId w:val="4"/>
  </w:num>
  <w:num w:numId="5" w16cid:durableId="636185246">
    <w:abstractNumId w:val="7"/>
  </w:num>
  <w:num w:numId="6" w16cid:durableId="1832982597">
    <w:abstractNumId w:val="2"/>
  </w:num>
  <w:num w:numId="7" w16cid:durableId="2134395377">
    <w:abstractNumId w:val="6"/>
  </w:num>
  <w:num w:numId="8" w16cid:durableId="1275790995">
    <w:abstractNumId w:val="0"/>
  </w:num>
  <w:num w:numId="9" w16cid:durableId="1981835342">
    <w:abstractNumId w:val="8"/>
  </w:num>
  <w:num w:numId="10" w16cid:durableId="1691065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E4"/>
    <w:rsid w:val="000518B0"/>
    <w:rsid w:val="00085EFD"/>
    <w:rsid w:val="0009569F"/>
    <w:rsid w:val="000C712F"/>
    <w:rsid w:val="000D24C7"/>
    <w:rsid w:val="000D30F5"/>
    <w:rsid w:val="000E56CA"/>
    <w:rsid w:val="000F3FE9"/>
    <w:rsid w:val="0014345B"/>
    <w:rsid w:val="00176862"/>
    <w:rsid w:val="001C145F"/>
    <w:rsid w:val="001D2FDB"/>
    <w:rsid w:val="0020232E"/>
    <w:rsid w:val="00241ABF"/>
    <w:rsid w:val="00271398"/>
    <w:rsid w:val="002B336F"/>
    <w:rsid w:val="00332CD5"/>
    <w:rsid w:val="003712F1"/>
    <w:rsid w:val="003866BD"/>
    <w:rsid w:val="003A2142"/>
    <w:rsid w:val="003B6E1D"/>
    <w:rsid w:val="004028E7"/>
    <w:rsid w:val="004208DA"/>
    <w:rsid w:val="004622BB"/>
    <w:rsid w:val="00563968"/>
    <w:rsid w:val="00567410"/>
    <w:rsid w:val="00577C00"/>
    <w:rsid w:val="005828C2"/>
    <w:rsid w:val="005E5D67"/>
    <w:rsid w:val="00644CCD"/>
    <w:rsid w:val="00670567"/>
    <w:rsid w:val="00670E24"/>
    <w:rsid w:val="006738A3"/>
    <w:rsid w:val="00680A08"/>
    <w:rsid w:val="006E612C"/>
    <w:rsid w:val="006F1174"/>
    <w:rsid w:val="006F5586"/>
    <w:rsid w:val="00706CBB"/>
    <w:rsid w:val="00712ED1"/>
    <w:rsid w:val="007A1699"/>
    <w:rsid w:val="007C77FE"/>
    <w:rsid w:val="007E2141"/>
    <w:rsid w:val="007F1F2A"/>
    <w:rsid w:val="00826043"/>
    <w:rsid w:val="008337B9"/>
    <w:rsid w:val="00837FE4"/>
    <w:rsid w:val="00852F72"/>
    <w:rsid w:val="0086545D"/>
    <w:rsid w:val="00866A69"/>
    <w:rsid w:val="008B545B"/>
    <w:rsid w:val="008E751B"/>
    <w:rsid w:val="008E771A"/>
    <w:rsid w:val="00914F89"/>
    <w:rsid w:val="00974C0B"/>
    <w:rsid w:val="0098576F"/>
    <w:rsid w:val="00996F98"/>
    <w:rsid w:val="009A4EDA"/>
    <w:rsid w:val="009B3410"/>
    <w:rsid w:val="009E27C5"/>
    <w:rsid w:val="00A221E4"/>
    <w:rsid w:val="00A43ADD"/>
    <w:rsid w:val="00A8304E"/>
    <w:rsid w:val="00A92026"/>
    <w:rsid w:val="00AA0CF3"/>
    <w:rsid w:val="00AB13C1"/>
    <w:rsid w:val="00AF0671"/>
    <w:rsid w:val="00AF5C40"/>
    <w:rsid w:val="00B20C74"/>
    <w:rsid w:val="00B54AC1"/>
    <w:rsid w:val="00B93FB5"/>
    <w:rsid w:val="00B9430A"/>
    <w:rsid w:val="00B97E2C"/>
    <w:rsid w:val="00BC1A22"/>
    <w:rsid w:val="00BD2413"/>
    <w:rsid w:val="00C323BD"/>
    <w:rsid w:val="00C63756"/>
    <w:rsid w:val="00C72DB2"/>
    <w:rsid w:val="00CF2AF6"/>
    <w:rsid w:val="00D1178B"/>
    <w:rsid w:val="00D676F2"/>
    <w:rsid w:val="00DB4F65"/>
    <w:rsid w:val="00DD3FE4"/>
    <w:rsid w:val="00DE7F8F"/>
    <w:rsid w:val="00DF3F99"/>
    <w:rsid w:val="00DF6F6E"/>
    <w:rsid w:val="00E027D5"/>
    <w:rsid w:val="00E701AB"/>
    <w:rsid w:val="00EB49B7"/>
    <w:rsid w:val="00EE5B68"/>
    <w:rsid w:val="00F10B50"/>
    <w:rsid w:val="00F156E6"/>
    <w:rsid w:val="00F17F1A"/>
    <w:rsid w:val="00F354A7"/>
    <w:rsid w:val="00F4650A"/>
    <w:rsid w:val="00F72900"/>
    <w:rsid w:val="00F95439"/>
    <w:rsid w:val="00FA7574"/>
    <w:rsid w:val="00FB450C"/>
    <w:rsid w:val="00FB6B36"/>
    <w:rsid w:val="00FC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90E0F3"/>
  <w15:chartTrackingRefBased/>
  <w15:docId w15:val="{010E7C7E-01D6-2C48-AE6D-2DCC6C93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9B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71A"/>
    <w:pPr>
      <w:keepNext/>
      <w:keepLines/>
      <w:spacing w:before="4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A0CF3"/>
    <w:pPr>
      <w:numPr>
        <w:ilvl w:val="1"/>
        <w:numId w:val="8"/>
      </w:numPr>
      <w:spacing w:line="360" w:lineRule="auto"/>
      <w:jc w:val="center"/>
      <w:outlineLvl w:val="2"/>
    </w:pPr>
    <w:rPr>
      <w:rFonts w:ascii="Times New Roman" w:eastAsia="Times New Roman" w:hAnsi="Times New Roman" w:cs="Times New Roman"/>
      <w:b/>
      <w:bCs/>
      <w:color w:val="1F1F1F"/>
      <w:kern w:val="0"/>
      <w:sz w:val="28"/>
      <w:szCs w:val="28"/>
      <w:shd w:val="clear" w:color="auto" w:fill="FFFFFF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9B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56CA"/>
    <w:pPr>
      <w:spacing w:before="480" w:line="276" w:lineRule="auto"/>
      <w:outlineLvl w:val="9"/>
    </w:pPr>
    <w:rPr>
      <w:b w:val="0"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E56CA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56CA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56CA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E56CA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E56CA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E56CA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E56CA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E56CA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E56CA"/>
    <w:pPr>
      <w:ind w:left="1920"/>
    </w:pPr>
    <w:rPr>
      <w:rFonts w:cstheme="minorHAns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E56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56CA"/>
  </w:style>
  <w:style w:type="character" w:styleId="PageNumber">
    <w:name w:val="page number"/>
    <w:basedOn w:val="DefaultParagraphFont"/>
    <w:uiPriority w:val="99"/>
    <w:semiHidden/>
    <w:unhideWhenUsed/>
    <w:rsid w:val="000E56CA"/>
  </w:style>
  <w:style w:type="character" w:styleId="Hyperlink">
    <w:name w:val="Hyperlink"/>
    <w:basedOn w:val="DefaultParagraphFont"/>
    <w:uiPriority w:val="99"/>
    <w:unhideWhenUsed/>
    <w:rsid w:val="000E56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3F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D3FE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E771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0CF3"/>
    <w:rPr>
      <w:rFonts w:ascii="Times New Roman" w:eastAsia="Times New Roman" w:hAnsi="Times New Roman" w:cs="Times New Roman"/>
      <w:b/>
      <w:bCs/>
      <w:color w:val="1F1F1F"/>
      <w:kern w:val="0"/>
      <w:sz w:val="28"/>
      <w:szCs w:val="28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260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043"/>
  </w:style>
  <w:style w:type="paragraph" w:styleId="NormalWeb">
    <w:name w:val="Normal (Web)"/>
    <w:basedOn w:val="Normal"/>
    <w:uiPriority w:val="99"/>
    <w:semiHidden/>
    <w:unhideWhenUsed/>
    <w:rsid w:val="00C72D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C72DB2"/>
  </w:style>
  <w:style w:type="paragraph" w:styleId="Revision">
    <w:name w:val="Revision"/>
    <w:hidden/>
    <w:uiPriority w:val="99"/>
    <w:semiHidden/>
    <w:rsid w:val="007A1699"/>
  </w:style>
  <w:style w:type="character" w:styleId="PlaceholderText">
    <w:name w:val="Placeholder Text"/>
    <w:basedOn w:val="DefaultParagraphFont"/>
    <w:uiPriority w:val="99"/>
    <w:semiHidden/>
    <w:rsid w:val="009A4E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38/s41467-020-17035-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38/s41586-021-03819-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CAE2E8-73B8-8241-A4E4-70BB5430B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3982</TotalTime>
  <Pages>17</Pages>
  <Words>3888</Words>
  <Characters>22163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Широкий Николай Игоревич</dc:creator>
  <cp:keywords/>
  <dc:description/>
  <cp:lastModifiedBy>Широкий Николай Игоревич</cp:lastModifiedBy>
  <cp:revision>73</cp:revision>
  <dcterms:created xsi:type="dcterms:W3CDTF">2024-04-28T00:44:00Z</dcterms:created>
  <dcterms:modified xsi:type="dcterms:W3CDTF">2024-05-12T15:48:00Z</dcterms:modified>
</cp:coreProperties>
</file>