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cantSplit/>
          <w:trHeight w:val="16798" w:hRule="exact"/>
        </w:trPr>
        <w:tc>
          <w:tcPr>
            <w:tcW w:type="dxa" w:w="11906"/>
            <w:tcBorders>
              <w:top w:val="single" w:color="000C3E" w:sz="4"/>
              <w:left w:val="single" w:color="000C3E" w:sz="4"/>
              <w:bottom w:val="single" w:color="000C3E" w:sz="4"/>
              <w:right w:val="single" w:color="000C3E" w:sz="4"/>
            </w:tcBorders>
            <w:shd w:fill="000C3E" w:color="auto" w:val="clear"/>
            <w:tcMar>
              <w:top w:type="dxa" w:w="0"/>
              <w:left w:type="dxa" w:w="1300"/>
              <w:bottom w:type="dxa" w:w="0"/>
              <w:right w:type="dxa" w:w="1300"/>
            </w:tcMar>
            <w:vAlign w:val="top"/>
          </w:tcPr>
          <w:p>
            <w:pPr>
              <w:spacing w:after="0" w:before="0" w:line="900" w:lineRule="exact"/>
            </w:pPr>
          </w:p>
          <w:p>
            <w:pPr>
              <w:spacing w:after="0"/>
            </w:pPr>
            <w:r>
              <w:drawing>
                <wp:inline distT="0" distB="0" distL="0" distR="0">
                  <wp:extent cx="1809750" cy="1104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600" w:lineRule="exact"/>
            </w:pPr>
          </w:p>
          <w:p>
            <w:pPr>
              <w:keepLines/>
              <w:spacing w:after="16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9DB2FF"/>
                <w:spacing w:val="40"/>
                <w:sz w:val="20"/>
                <w:szCs w:val="20"/>
              </w:rPr>
              <w:t xml:space="preserve">Briefing Estratégico &amp; Diagnóstico de Liderança</w:t>
            </w:r>
          </w:p>
          <w:p>
            <w:pPr>
              <w:keepLines/>
              <w:spacing w:after="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84"/>
                <w:szCs w:val="84"/>
              </w:rPr>
              <w:t xml:space="preserve">Diagnóstico</w:t>
            </w:r>
          </w:p>
          <w:p>
            <w:pPr>
              <w:keepLines/>
              <w:spacing w:after="24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84"/>
                <w:szCs w:val="84"/>
              </w:rPr>
              <w:t xml:space="preserve">360° Pro</w:t>
            </w:r>
          </w:p>
          <w:p>
            <w:pPr>
              <w:keepLines/>
              <w:spacing w:after="480" w:before="0" w:line="320" w:lineRule="auto"/>
            </w:pPr>
            <w:r>
              <w:rPr>
                <w:rFonts w:ascii="Google Sans" w:cs="Google Sans" w:eastAsia="Google Sans" w:hAnsi="Google Sans"/>
                <w:color w:val="D7DEFF"/>
                <w:sz w:val="24"/>
                <w:szCs w:val="24"/>
              </w:rPr>
              <w:t xml:space="preserve">Guia e formulário de recolha da informação fundamental para a construção da estratégia completa da empresa cliente.</w:t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6000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2A3A8F" w:sz="4"/>
                    <w:right w:val="none" w:color="FFFFFF" w:sz="0"/>
                  </w:tcBorders>
                  <w:tcMar>
                    <w:top w:type="dxa" w:w="100"/>
                    <w:left w:type="dxa" w:w="0"/>
                    <w:bottom w:type="dxa" w:w="100"/>
                    <w:right w:type="dxa" w:w="100"/>
                  </w:tcMar>
                  <w:vAlign w:val="top"/>
                </w:tcPr>
                <w:p>
                  <w:pPr>
                    <w:keepLines/>
                    <w:spacing w:after="0" w:before="0" w:line="276" w:lineRule="auto"/>
                  </w:pPr>
                  <w:r>
                    <w:rPr>
                      <w:rFonts w:ascii="Google Sans" w:cs="Google Sans" w:eastAsia="Google Sans" w:hAnsi="Google Sans"/>
                      <w:b/>
                      <w:bCs/>
                      <w:caps/>
                      <w:color w:val="9DB2FF"/>
                      <w:spacing w:val="30"/>
                      <w:sz w:val="16"/>
                      <w:szCs w:val="16"/>
                    </w:rPr>
                    <w:t xml:space="preserve">Cliente</w:t>
                  </w:r>
                </w:p>
              </w:tc>
              <w:tc>
                <w:tcPr>
                  <w:tcW w:type="dxa" w:w="6000"/>
                  <w:tcBorders>
                    <w:top w:val="none" w:color="FFFFFF" w:sz="0"/>
                    <w:left w:val="none" w:color="FFFFFF" w:sz="0"/>
                    <w:bottom w:val="single" w:color="2A3A8F" w:sz="4"/>
                    <w:right w:val="none" w:color="FFFFFF" w:sz="0"/>
                  </w:tcBorders>
                  <w:tcMar>
                    <w:top w:type="dxa" w:w="100"/>
                    <w:left w:type="dxa" w:w="100"/>
                    <w:bottom w:type="dxa" w:w="10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76" w:lineRule="auto"/>
                  </w:pPr>
                  <w:r>
                    <w:rPr>
                      <w:rFonts w:ascii="Google Sans" w:cs="Google Sans" w:eastAsia="Google Sans" w:hAnsi="Google Sans"/>
                      <w:color w:val="FFFFFF"/>
                      <w:sz w:val="20"/>
                      <w:szCs w:val="20"/>
                    </w:rPr>
                    <w:t xml:space="preserve">Home Center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2A3A8F" w:sz="4"/>
                    <w:right w:val="none" w:color="FFFFFF" w:sz="0"/>
                  </w:tcBorders>
                  <w:tcMar>
                    <w:top w:type="dxa" w:w="100"/>
                    <w:left w:type="dxa" w:w="0"/>
                    <w:bottom w:type="dxa" w:w="100"/>
                    <w:right w:type="dxa" w:w="100"/>
                  </w:tcMar>
                  <w:vAlign w:val="top"/>
                </w:tcPr>
                <w:p>
                  <w:pPr>
                    <w:keepLines/>
                    <w:spacing w:after="0" w:before="0" w:line="276" w:lineRule="auto"/>
                  </w:pPr>
                  <w:r>
                    <w:rPr>
                      <w:rFonts w:ascii="Google Sans" w:cs="Google Sans" w:eastAsia="Google Sans" w:hAnsi="Google Sans"/>
                      <w:b/>
                      <w:bCs/>
                      <w:caps/>
                      <w:color w:val="9DB2FF"/>
                      <w:spacing w:val="30"/>
                      <w:sz w:val="16"/>
                      <w:szCs w:val="16"/>
                    </w:rPr>
                    <w:t xml:space="preserve">Áreas</w:t>
                  </w:r>
                </w:p>
              </w:tc>
              <w:tc>
                <w:tcPr>
                  <w:tcW w:type="dxa" w:w="6000"/>
                  <w:tcBorders>
                    <w:top w:val="none" w:color="FFFFFF" w:sz="0"/>
                    <w:left w:val="none" w:color="FFFFFF" w:sz="0"/>
                    <w:bottom w:val="single" w:color="2A3A8F" w:sz="4"/>
                    <w:right w:val="none" w:color="FFFFFF" w:sz="0"/>
                  </w:tcBorders>
                  <w:tcMar>
                    <w:top w:type="dxa" w:w="100"/>
                    <w:left w:type="dxa" w:w="100"/>
                    <w:bottom w:type="dxa" w:w="10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76" w:lineRule="auto"/>
                  </w:pPr>
                  <w:r>
                    <w:rPr>
                      <w:rFonts w:ascii="Google Sans" w:cs="Google Sans" w:eastAsia="Google Sans" w:hAnsi="Google Sans"/>
                      <w:color w:val="FFFFFF"/>
                      <w:sz w:val="20"/>
                      <w:szCs w:val="20"/>
                    </w:rPr>
                    <w:t xml:space="preserve">Direcção-Geral · Marketing · Comercial · Lojas · Tecnologia · RH &amp; Liderança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2A3A8F" w:sz="4"/>
                    <w:right w:val="none" w:color="FFFFFF" w:sz="0"/>
                  </w:tcBorders>
                  <w:tcMar>
                    <w:top w:type="dxa" w:w="100"/>
                    <w:left w:type="dxa" w:w="0"/>
                    <w:bottom w:type="dxa" w:w="100"/>
                    <w:right w:type="dxa" w:w="100"/>
                  </w:tcMar>
                  <w:vAlign w:val="top"/>
                </w:tcPr>
                <w:p>
                  <w:pPr>
                    <w:keepLines/>
                    <w:spacing w:after="0" w:before="0" w:line="276" w:lineRule="auto"/>
                  </w:pPr>
                  <w:r>
                    <w:rPr>
                      <w:rFonts w:ascii="Google Sans" w:cs="Google Sans" w:eastAsia="Google Sans" w:hAnsi="Google Sans"/>
                      <w:b/>
                      <w:bCs/>
                      <w:caps/>
                      <w:color w:val="9DB2FF"/>
                      <w:spacing w:val="30"/>
                      <w:sz w:val="16"/>
                      <w:szCs w:val="16"/>
                    </w:rPr>
                    <w:t xml:space="preserve">Data</w:t>
                  </w:r>
                </w:p>
              </w:tc>
              <w:tc>
                <w:tcPr>
                  <w:tcW w:type="dxa" w:w="6000"/>
                  <w:tcBorders>
                    <w:top w:val="none" w:color="FFFFFF" w:sz="0"/>
                    <w:left w:val="none" w:color="FFFFFF" w:sz="0"/>
                    <w:bottom w:val="single" w:color="2A3A8F" w:sz="4"/>
                    <w:right w:val="none" w:color="FFFFFF" w:sz="0"/>
                  </w:tcBorders>
                  <w:tcMar>
                    <w:top w:type="dxa" w:w="100"/>
                    <w:left w:type="dxa" w:w="100"/>
                    <w:bottom w:type="dxa" w:w="10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76" w:lineRule="auto"/>
                  </w:pPr>
                  <w:r>
                    <w:rPr>
                      <w:rFonts w:ascii="Google Sans" w:cs="Google Sans" w:eastAsia="Google Sans" w:hAnsi="Google Sans"/>
                      <w:color w:val="FFFFFF"/>
                      <w:sz w:val="20"/>
                      <w:szCs w:val="20"/>
                    </w:rPr>
                    <w:t xml:space="preserve">Outubro de 2026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2A3A8F" w:sz="4"/>
                    <w:right w:val="none" w:color="FFFFFF" w:sz="0"/>
                  </w:tcBorders>
                  <w:tcMar>
                    <w:top w:type="dxa" w:w="100"/>
                    <w:left w:type="dxa" w:w="0"/>
                    <w:bottom w:type="dxa" w:w="100"/>
                    <w:right w:type="dxa" w:w="100"/>
                  </w:tcMar>
                  <w:vAlign w:val="top"/>
                </w:tcPr>
                <w:p>
                  <w:pPr>
                    <w:keepLines/>
                    <w:spacing w:after="0" w:before="0" w:line="276" w:lineRule="auto"/>
                  </w:pPr>
                  <w:r>
                    <w:rPr>
                      <w:rFonts w:ascii="Google Sans" w:cs="Google Sans" w:eastAsia="Google Sans" w:hAnsi="Google Sans"/>
                      <w:b/>
                      <w:bCs/>
                      <w:caps/>
                      <w:color w:val="9DB2FF"/>
                      <w:spacing w:val="30"/>
                      <w:sz w:val="16"/>
                      <w:szCs w:val="16"/>
                    </w:rPr>
                    <w:t xml:space="preserve">Versão</w:t>
                  </w:r>
                </w:p>
              </w:tc>
              <w:tc>
                <w:tcPr>
                  <w:tcW w:type="dxa" w:w="6000"/>
                  <w:tcBorders>
                    <w:top w:val="none" w:color="FFFFFF" w:sz="0"/>
                    <w:left w:val="none" w:color="FFFFFF" w:sz="0"/>
                    <w:bottom w:val="single" w:color="2A3A8F" w:sz="4"/>
                    <w:right w:val="none" w:color="FFFFFF" w:sz="0"/>
                  </w:tcBorders>
                  <w:tcMar>
                    <w:top w:type="dxa" w:w="100"/>
                    <w:left w:type="dxa" w:w="100"/>
                    <w:bottom w:type="dxa" w:w="10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76" w:lineRule="auto"/>
                  </w:pPr>
                  <w:r>
                    <w:rPr>
                      <w:rFonts w:ascii="Google Sans" w:cs="Google Sans" w:eastAsia="Google Sans" w:hAnsi="Google Sans"/>
                      <w:color w:val="FFFFFF"/>
                      <w:sz w:val="20"/>
                      <w:szCs w:val="20"/>
                    </w:rPr>
                    <w:t xml:space="preserve">1.0 · Confidencial</w:t>
                  </w:r>
                </w:p>
              </w:tc>
            </w:tr>
          </w:tbl>
          <w:p>
            <w:pPr>
              <w:spacing w:after="0" w:before="0" w:line="3000" w:lineRule="exact"/>
            </w:pPr>
          </w:p>
          <w:p>
            <w:pPr>
              <w:keepLines/>
              <w:spacing w:after="60" w:before="0" w:line="276" w:lineRule="auto"/>
            </w:pPr>
            <w:r>
              <w:rPr>
                <w:rFonts w:ascii="Google Sans" w:cs="Google Sans" w:eastAsia="Google Sans" w:hAnsi="Google Sans"/>
                <w:color w:val="FFFFFF"/>
                <w:sz w:val="18"/>
                <w:szCs w:val="18"/>
              </w:rPr>
              <w:t xml:space="preserve">Produzido por </w:t>
            </w:r>
            <w:r>
              <w:rPr>
                <w:rFonts w:ascii="Google Sans" w:cs="Google Sans" w:eastAsia="Google Sans" w:hAnsi="Google Sans"/>
                <w:b/>
                <w:bCs/>
                <w:color w:val="FFFFFF"/>
                <w:sz w:val="18"/>
                <w:szCs w:val="18"/>
              </w:rPr>
              <w:t xml:space="preserve">Midia Pro · Comunicação e Imagem</w:t>
            </w:r>
          </w:p>
          <w:p>
            <w:pPr>
              <w:keepLines/>
              <w:spacing w:after="30" w:before="0" w:line="276" w:lineRule="auto"/>
            </w:pPr>
            <w:r>
              <w:rPr>
                <w:rFonts w:ascii="Google Sans" w:cs="Google Sans" w:eastAsia="Google Sans" w:hAnsi="Google Sans"/>
                <w:color w:val="B9C4F5"/>
                <w:sz w:val="17"/>
                <w:szCs w:val="17"/>
              </w:rPr>
              <w:t xml:space="preserve">Av. Vladimir Lenine nº 1895, R/C · Maputo, Moçambique</w:t>
            </w:r>
          </w:p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B9C4F5"/>
                <w:sz w:val="17"/>
                <w:szCs w:val="17"/>
              </w:rPr>
              <w:t xml:space="preserve">+258 85 589 0000 · info@midiapro.co.mz</w:t>
            </w:r>
          </w:p>
        </w:tc>
      </w:tr>
    </w:tbl>
    <w:p>
      <w:pPr>
        <w:spacing w:after="0" w:before="0" w:line="20" w:lineRule="exact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keepLines/>
        <w:spacing w:after="60" w:before="0" w:line="276" w:lineRule="auto"/>
      </w:pPr>
      <w:r>
        <w:rPr>
          <w:rFonts w:ascii="Google Sans" w:cs="Google Sans" w:eastAsia="Google Sans" w:hAnsi="Google Sans"/>
          <w:b/>
          <w:bCs/>
          <w:caps/>
          <w:color w:val="2E5BE6"/>
          <w:spacing w:val="40"/>
          <w:sz w:val="18"/>
          <w:szCs w:val="18"/>
        </w:rPr>
        <w:t xml:space="preserve">Antes de começar</w:t>
      </w:r>
    </w:p>
    <w:p>
      <w:pPr>
        <w:pStyle w:val="Heading1"/>
        <w:pBdr>
          <w:bottom w:val="single" w:color="011169" w:sz="12" w:space="6"/>
        </w:pBdr>
      </w:pPr>
      <w:r>
        <w:rPr>
          <w:rFonts w:ascii="Google Sans" w:cs="Google Sans" w:eastAsia="Google Sans" w:hAnsi="Google Sans"/>
        </w:rPr>
        <w:t xml:space="preserve">Ficha do documento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38"/>
      </w:tblGrid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Cliente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Home Center</w:t>
            </w: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Código do cliente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Data de preenchimento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Ponto focal do cliente (nome e cargo)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Responsável pelo briefing (Midia Pro)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Especialista em liderança e cultura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Mirza Jamal (especialista subcontratada pela Midia Pro)</w:t>
            </w: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Data limite de devolução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Classificação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Confidencial · uso exclusivo Midia Pro e cliente</w:t>
            </w:r>
          </w:p>
        </w:tc>
      </w:tr>
    </w:tbl>
    <w:p>
      <w:pPr>
        <w:spacing w:after="0" w:before="0" w:line="3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Mapa do diagnóstico</w:t>
      </w:r>
    </w:p>
    <w:p>
      <w:pPr>
        <w:keepNext/>
        <w:keepLines/>
        <w:spacing w:after="120" w:before="0" w:line="276" w:lineRule="auto"/>
      </w:pPr>
      <w:r>
        <w:rPr>
          <w:rFonts w:ascii="Google Sans" w:cs="Google Sans" w:eastAsia="Google Sans" w:hAnsi="Google Sans"/>
          <w:color w:val="5B6384"/>
          <w:sz w:val="18"/>
          <w:szCs w:val="18"/>
        </w:rPr>
        <w:t xml:space="preserve">Cada etapa corresponde a uma área da empresa e pode ser preenchida em paralelo pelo respectivo responsável.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0"/>
        <w:gridCol w:w="2100"/>
        <w:gridCol w:w="3038"/>
        <w:gridCol w:w="1200"/>
      </w:tblGrid>
      <w:tr>
        <w:trPr>
          <w:cantSplit/>
          <w:tblHeader/>
        </w:trPr>
        <w:tc>
          <w:tcPr>
            <w:tcW w:type="dxa" w:w="33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21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Área / Departamento</w:t>
            </w:r>
          </w:p>
        </w:tc>
        <w:tc>
          <w:tcPr>
            <w:tcW w:type="dxa" w:w="30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Quem preenche</w:t>
            </w:r>
          </w:p>
        </w:tc>
        <w:tc>
          <w:tcPr>
            <w:tcW w:type="dxa" w:w="12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Tempo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A01  Identificação &amp; Visão do Negócio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Direcção-Geral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Director-Geral, com Financeiro e RH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A02  Público-Alvo &amp; Cliente Ideal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· Comercial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+ gerente de loja + vendedor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A03  Posicionamento &amp; Marca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· Direcção-Geral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Direcção-Geral + Marketing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20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A04  Objectivos &amp; Metas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Direcção-Geral · Marketing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Director-Geral + Marketing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A05  Oferta, Produtos &amp; Pontos de Venda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Comercial · Compras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Comercial + Compras + Financeiro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A06  Comunicação &amp; Conteúdo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· Social Media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/ Social Media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A07  Tráfego Pago &amp; Funil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· Financeiro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+ Financeiro (orçamento)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A08  Processo Comercial &amp; Vendas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Comercial · Lojas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Direcção Comercial + Gerentes das lojas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A09  Tecnologia &amp; Sistemas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TI · Marketing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TI / sistemas + Marketing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10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A10  Aprovações, Contexto &amp; Materiais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Direcção-Geral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Director-Geral (ponto focal)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10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B  Diagnóstico de Liderança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RH · Liderança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Cada líder, em entrevista individual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45–60 min por líder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  Consolidação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Uso interno Midia Pro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Responsável de planeamento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48 h</w:t>
            </w:r>
          </w:p>
        </w:tc>
      </w:tr>
    </w:tbl>
    <w:p>
      <w:pPr>
        <w:keepNext/>
        <w:pageBreakBefore/>
        <w:spacing w:after="60"/>
      </w:pPr>
      <w:r>
        <w:rPr>
          <w:rFonts w:ascii="Google Sans" w:cs="Google Sans" w:eastAsia="Google Sans" w:hAnsi="Google Sans"/>
          <w:b/>
          <w:bCs/>
          <w:caps/>
          <w:color w:val="2E5BE6"/>
          <w:spacing w:val="40"/>
          <w:sz w:val="18"/>
          <w:szCs w:val="18"/>
        </w:rPr>
        <w:t xml:space="preserve">Comece por aqui</w:t>
      </w:r>
    </w:p>
    <w:p>
      <w:pPr>
        <w:pStyle w:val="Heading1"/>
        <w:keepNext/>
        <w:pBdr>
          <w:bottom w:val="single" w:color="011169" w:sz="12" w:space="6"/>
        </w:pBdr>
      </w:pPr>
      <w:r>
        <w:rPr>
          <w:rFonts w:ascii="Google Sans" w:cs="Google Sans" w:eastAsia="Google Sans" w:hAnsi="Google Sans"/>
        </w:rPr>
        <w:t xml:space="preserve">Guia de preenchimento</w:t>
      </w:r>
    </w:p>
    <w:p>
      <w:pPr>
        <w:keepLines/>
        <w:spacing w:after="200" w:before="0" w:line="276" w:lineRule="auto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Este documento reúne, num só instrumento, o </w:t>
      </w: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Briefing de Cliente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e o </w:t>
      </w: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Modelo de Diagnóstico de Liderança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da Midia Pro. Pede apenas a informação </w:t>
      </w: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fundamental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para construirmos uma estratégia completa: posicionamento, comunicação, conteúdo, tráfego pago, vendas, tecnologia e liderança.</w:t>
      </w: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1. Como o documento está organizado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4538"/>
        <w:gridCol w:w="2500"/>
      </w:tblGrid>
      <w:tr>
        <w:trPr>
          <w:cantSplit/>
          <w:tblHeader/>
        </w:trPr>
        <w:tc>
          <w:tcPr>
            <w:tcW w:type="dxa" w:w="26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Parte</w:t>
            </w:r>
          </w:p>
        </w:tc>
        <w:tc>
          <w:tcPr>
            <w:tcW w:type="dxa" w:w="45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Conteúdo</w:t>
            </w:r>
          </w:p>
        </w:tc>
        <w:tc>
          <w:tcPr>
            <w:tcW w:type="dxa" w:w="25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Formato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 · Briefing Estratégico</w:t>
            </w:r>
          </w:p>
        </w:tc>
        <w:tc>
          <w:tcPr>
            <w:tcW w:type="dxa" w:w="45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10 etapas, uma por área da empresa, com as perguntas que alimentam a estratégia.</w:t>
            </w:r>
          </w:p>
        </w:tc>
        <w:tc>
          <w:tcPr>
            <w:tcW w:type="dxa" w:w="2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Formulário preenchido pelos departamentos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B · Diagnóstico de Liderança</w:t>
            </w:r>
          </w:p>
        </w:tc>
        <w:tc>
          <w:tcPr>
            <w:tcW w:type="dxa" w:w="45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Instrumento aplicado a cada líder: liderança, comunicação, métricas, follow-up, cultura e mudança.</w:t>
            </w:r>
          </w:p>
        </w:tc>
        <w:tc>
          <w:tcPr>
            <w:tcW w:type="dxa" w:w="2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Entrevista individual de 45–60 min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 · Consolidação</w:t>
            </w:r>
          </w:p>
        </w:tc>
        <w:tc>
          <w:tcPr>
            <w:tcW w:type="dxa" w:w="45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Lista de evidências, matriz de análise e passagem do briefing para as equipas Midia Pro.</w:t>
            </w:r>
          </w:p>
        </w:tc>
        <w:tc>
          <w:tcPr>
            <w:tcW w:type="dxa" w:w="2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Uso interno Midia Pro</w:t>
            </w: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2. Passo a passo para o cliente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Nomeie um ponto focal.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Uma pessoa coordena o preenchimento, distribui as etapas e devolve o documento completo.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Distribua cada etapa à área indicada.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Cada etapa começa com uma faixa azul que indica quem a deve preencher e o tempo estimado.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Leia a caixa "Como fazer o diagnóstico nesta etapa"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antes de responder. Explica o objectivo, onde está a informação e como levantá-la internamente.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Responda com factos e números.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Siga o "Modelo aceite" de cada campo e use dados dos últimos 6 a 12 meses sempre que possível.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Anexe as evidências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pedidas numa pasta partilhada, com nomes claros: HC_Etapa05_TabelaPrecos.pdf.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Não deixe campos em branco.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Se a informação não existir, escreva "Não disponível" e indique quem a pode ter. Isso também é um dado do diagnóstico.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Revisão final.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O ponto focal confirma que todos os campos obrigatórios (*) estão preenchidos e devolve o documento à Midia Pro.</w:t>
      </w:r>
    </w:p>
    <w:p>
      <w:pPr>
        <w:spacing w:after="0" w:before="0" w:line="12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3. Legenda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338"/>
      </w:tblGrid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D63A3A"/>
                <w:sz w:val="24"/>
                <w:szCs w:val="24"/>
              </w:rPr>
              <w:t xml:space="preserve">*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Campo obrigatório: sem esta informação não é possível construir a estratégia.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Escolha única: assinale apenas uma opção.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4"/>
                <w:szCs w:val="24"/>
              </w:rPr>
              <w:t xml:space="preserve">□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Escolha múltipla: assinale todas as opções que se aplicam.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5"/>
                <w:szCs w:val="15"/>
              </w:rPr>
              <w:t xml:space="preserve">1 a 5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Escala de avaliação: 1 = Muito fraco · 2 = Fraco · 3 = Razoável · 4 = Bom · 5 = Excelente.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5"/>
                <w:szCs w:val="15"/>
              </w:rPr>
              <w:t xml:space="preserve">EVIDÊNCIA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Documento ou registo que comprova a resposta e deve ser anexado na pasta partilhada.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5"/>
                <w:szCs w:val="15"/>
              </w:rPr>
              <w:t xml:space="preserve">Como levantar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Indica quem tem a informação dentro da empresa e onde a encontrar.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5"/>
                <w:szCs w:val="15"/>
              </w:rPr>
              <w:t xml:space="preserve">Modelo aceite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Exemplo do formato de resposta esperado. Substitua pelos dados reais da empresa.</w:t>
            </w: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4. Regras de ouro do diagnóstico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Percepção + evidência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before="0" w:line="276"/>
            </w:pPr>
            <w:r>
              <w:rPr>
                <w:rFonts w:ascii="Google Sans" w:cs="Google Sans" w:eastAsia="Google Sans" w:hAnsi="Google Sans"/>
                <w:b/>
                <w:bCs/>
                <w:color w:val="1A1F36"/>
                <w:sz w:val="20"/>
                <w:szCs w:val="20"/>
              </w:rPr>
              <w:t xml:space="preserve">Cruzar sempre percepção com evidência.</w:t>
            </w:r>
            <w:r>
              <w:rPr>
                <w:rFonts w:ascii="Google Sans" w:cs="Google Sans" w:eastAsia="Google Sans" w:hAnsi="Google Sans"/>
                <w:color w:val="1A1F36"/>
                <w:sz w:val="20"/>
                <w:szCs w:val="20"/>
              </w:rPr>
              <w:t xml:space="preserve"> Uma resposta positiva sem processo, registo ou métrica que a comprove é assinalada como discrepância entre percepção e prática.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before="0" w:line="276"/>
            </w:pPr>
            <w:r>
              <w:rPr>
                <w:rFonts w:ascii="Google Sans" w:cs="Google Sans" w:eastAsia="Google Sans" w:hAnsi="Google Sans"/>
                <w:b/>
                <w:bCs/>
                <w:color w:val="1A1F36"/>
                <w:sz w:val="20"/>
                <w:szCs w:val="20"/>
              </w:rPr>
              <w:t xml:space="preserve">Ser específico.</w:t>
            </w:r>
            <w:r>
              <w:rPr>
                <w:rFonts w:ascii="Google Sans" w:cs="Google Sans" w:eastAsia="Google Sans" w:hAnsi="Google Sans"/>
                <w:color w:val="1A1F36"/>
                <w:sz w:val="20"/>
                <w:szCs w:val="20"/>
              </w:rPr>
              <w:t xml:space="preserve"> "Vendemos bem" não ajuda; "vendemos 11,2 M MZN em Setembro, 86% da meta" permite decidir.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before="0" w:line="276"/>
            </w:pPr>
            <w:r>
              <w:rPr>
                <w:rFonts w:ascii="Google Sans" w:cs="Google Sans" w:eastAsia="Google Sans" w:hAnsi="Google Sans"/>
                <w:b/>
                <w:bCs/>
                <w:color w:val="1A1F36"/>
                <w:sz w:val="20"/>
                <w:szCs w:val="20"/>
              </w:rPr>
              <w:t xml:space="preserve">Comparar unidades.</w:t>
            </w:r>
            <w:r>
              <w:rPr>
                <w:rFonts w:ascii="Google Sans" w:cs="Google Sans" w:eastAsia="Google Sans" w:hAnsi="Google Sans"/>
                <w:color w:val="1A1F36"/>
                <w:sz w:val="20"/>
                <w:szCs w:val="20"/>
              </w:rPr>
              <w:t xml:space="preserve"> As respostas das três lojas são comparadas para identificar diferenças de comunicação, atendimento e execução.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before="0" w:line="276"/>
            </w:pPr>
            <w:r>
              <w:rPr>
                <w:rFonts w:ascii="Google Sans" w:cs="Google Sans" w:eastAsia="Google Sans" w:hAnsi="Google Sans"/>
                <w:b/>
                <w:bCs/>
                <w:color w:val="1A1F36"/>
                <w:sz w:val="20"/>
                <w:szCs w:val="20"/>
              </w:rPr>
              <w:t xml:space="preserve">Confidencialidade.</w:t>
            </w:r>
            <w:r>
              <w:rPr>
                <w:rFonts w:ascii="Google Sans" w:cs="Google Sans" w:eastAsia="Google Sans" w:hAnsi="Google Sans"/>
                <w:color w:val="1A1F36"/>
                <w:sz w:val="20"/>
                <w:szCs w:val="20"/>
              </w:rPr>
              <w:t xml:space="preserve"> Os resultados são apresentados de forma consolidada, por dimensão, sem exposição individual.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before="0" w:line="276"/>
            </w:pPr>
            <w:r>
              <w:rPr>
                <w:rFonts w:ascii="Google Sans" w:cs="Google Sans" w:eastAsia="Google Sans" w:hAnsi="Google Sans"/>
                <w:b/>
                <w:bCs/>
                <w:color w:val="1A1F36"/>
                <w:sz w:val="20"/>
                <w:szCs w:val="20"/>
              </w:rPr>
              <w:t xml:space="preserve">Sem procura de culpados.</w:t>
            </w:r>
            <w:r>
              <w:rPr>
                <w:rFonts w:ascii="Google Sans" w:cs="Google Sans" w:eastAsia="Google Sans" w:hAnsi="Google Sans"/>
                <w:color w:val="1A1F36"/>
                <w:sz w:val="20"/>
                <w:szCs w:val="20"/>
              </w:rPr>
              <w:t xml:space="preserve"> O objectivo é identificar os pontos do sistema, dos processos e da liderança que precisam de intervenção.</w:t>
            </w: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5. Calendário recomendado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938"/>
        <w:gridCol w:w="2800"/>
      </w:tblGrid>
      <w:tr>
        <w:trPr>
          <w:cantSplit/>
          <w:tblHeader/>
        </w:trPr>
        <w:tc>
          <w:tcPr>
            <w:tcW w:type="dxa" w:w="19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Quando</w:t>
            </w:r>
          </w:p>
        </w:tc>
        <w:tc>
          <w:tcPr>
            <w:tcW w:type="dxa" w:w="49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O quê</w:t>
            </w:r>
          </w:p>
        </w:tc>
        <w:tc>
          <w:tcPr>
            <w:tcW w:type="dxa" w:w="28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Dia 1</w:t>
            </w:r>
          </w:p>
        </w:tc>
        <w:tc>
          <w:tcPr>
            <w:tcW w:type="dxa" w:w="49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Reunião de arranque: apresentação do documento e nomeação do ponto focal</w:t>
            </w:r>
          </w:p>
        </w:tc>
        <w:tc>
          <w:tcPr>
            <w:tcW w:type="dxa" w:w="2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Midia Pro + Direcção-Geral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Dias 2 a 5</w:t>
            </w:r>
          </w:p>
        </w:tc>
        <w:tc>
          <w:tcPr>
            <w:tcW w:type="dxa" w:w="49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Preenchimento da Parte A pelos departamentos e recolha de evidências</w:t>
            </w:r>
          </w:p>
        </w:tc>
        <w:tc>
          <w:tcPr>
            <w:tcW w:type="dxa" w:w="2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Ponto focal + departamentos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Dias 3 a 8</w:t>
            </w:r>
          </w:p>
        </w:tc>
        <w:tc>
          <w:tcPr>
            <w:tcW w:type="dxa" w:w="49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Entrevistas individuais da Parte B e observação das lojas</w:t>
            </w:r>
          </w:p>
        </w:tc>
        <w:tc>
          <w:tcPr>
            <w:tcW w:type="dxa" w:w="2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Mirza Jamal (Midia Pro)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Dia 9</w:t>
            </w:r>
          </w:p>
        </w:tc>
        <w:tc>
          <w:tcPr>
            <w:tcW w:type="dxa" w:w="49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Revisão final pelo ponto focal e devolução do documento</w:t>
            </w:r>
          </w:p>
        </w:tc>
        <w:tc>
          <w:tcPr>
            <w:tcW w:type="dxa" w:w="2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Ponto focal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Até 48 h depois</w:t>
            </w:r>
          </w:p>
        </w:tc>
        <w:tc>
          <w:tcPr>
            <w:tcW w:type="dxa" w:w="49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Consolidação e redacção do Plano Estratégico</w:t>
            </w:r>
          </w:p>
        </w:tc>
        <w:tc>
          <w:tcPr>
            <w:tcW w:type="dxa" w:w="2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Planeamento estratégico (Midia Pro)</w:t>
            </w:r>
          </w:p>
        </w:tc>
      </w:tr>
    </w:tbl>
    <w:p>
      <w:pPr>
        <w:keepLines/>
        <w:spacing w:after="120" w:before="80" w:line="276" w:lineRule="auto"/>
      </w:pP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Calendário indicativo; é ajustado na reunião de arranque.</w:t>
      </w:r>
    </w:p>
    <w:p>
      <w:pPr>
        <w:keepNext/>
        <w:pageBreakBefore/>
        <w:spacing w:after="60"/>
      </w:pPr>
      <w:r>
        <w:rPr>
          <w:rFonts w:ascii="Google Sans" w:cs="Google Sans" w:eastAsia="Google Sans" w:hAnsi="Google Sans"/>
          <w:b/>
          <w:bCs/>
          <w:caps/>
          <w:color w:val="2E5BE6"/>
          <w:spacing w:val="40"/>
          <w:sz w:val="18"/>
          <w:szCs w:val="18"/>
        </w:rPr>
        <w:t xml:space="preserve">Parte A</w:t>
      </w:r>
    </w:p>
    <w:p>
      <w:pPr>
        <w:pStyle w:val="Heading1"/>
        <w:keepNext/>
        <w:pBdr>
          <w:bottom w:val="single" w:color="011169" w:sz="12" w:space="6"/>
        </w:pBdr>
      </w:pPr>
      <w:r>
        <w:rPr>
          <w:rFonts w:ascii="Google Sans" w:cs="Google Sans" w:eastAsia="Google Sans" w:hAnsi="Google Sans"/>
        </w:rPr>
        <w:t xml:space="preserve">Parte A · Briefing Estratégico</w:t>
      </w:r>
    </w:p>
    <w:p>
      <w:pPr>
        <w:keepLines/>
        <w:spacing w:after="200" w:before="0" w:line="276" w:lineRule="auto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As 10 etapas seguintes estão organizadas por área da empresa. Cada uma pode ser entregue ao departamento responsável e preenchida em paralelo. No final, o ponto focal reúne as respostas e confirma os campos obrigatórios.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60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O que a Midia Pro vai construir com esta informação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01 · Identificação &amp; Visão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Diagnóstico de contexto e definição do problema central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02 · Público-Alvo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Personas, segmentação de anúncios e mensagens por perfil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03 · Posicionamento &amp; Marca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Posicionamento, tom de voz e linha criativa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04 · Objectivos &amp; Metas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Metas SMART, KPIs e painel de resultados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05 · Oferta &amp; Pontos de Venda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Oferta principal, promessa e calendário de campanhas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06 · Comunicação &amp; Conteúdo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editorial e dimensionamento da produção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07 · Tráfego Pago &amp; Funil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de media, orçamento e funil de conversão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08 · Processo Comercial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Processo de vendas, follow-up e argumentário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09 · Tecnologia &amp; Sistemas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técnico: web, automações e integrações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10 · Aprovações &amp; Materiais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Fluxo de trabalho, aprovações e prazos</w:t>
            </w: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01 · Identificação &amp; Visão do Negócio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01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Direcção-Geral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Identificação &amp; Visão do Negócio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Director-Geral, com Financeiro e RH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Perceber quem é a empresa, a sua dimensão e o problema que motivou este diagnóstico.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 de vendas mensal (últimos 12 meses, por loja), organigrama, lista de lojas e colaboradores.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Reunião de 15 minutos com a Direcção. Os números devem vir do Financeiro/Contabilidade e não de estimativas de memória.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Organigrama actual · Relatório de vendas dos últimos 12 meses por loja.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Nome / Marca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Nome comercial usado nas lojas e, se for diferente, o nome jurídico da empresa.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Home Center (Home Center, Lda.)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Segmento / Nicho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Sector principal e tipo de cliente servido.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Retalho de materiais de construção, acabamentos, casa e decoração (particulares e empresas).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Responsável pelo contacto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 pessoa que vai coordenar o briefing internamente (ponto focal).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Nome *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Cargo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Contactos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nome@empresa.co.mz  ·  +258 8X XXX XXXX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Email *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WhatsApp / Telefone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Website e redes sociais activas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Indique apenas as contas com publicações nos últimos 30 dias.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www.empresa.co.mz · Instagram @empresa · Facebook /empresa · TikTok @empresa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Descrição resumida do negócio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Em 3 a 5 linhas: o que vende, a quem, onde e o que a distingue.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Rede de 3 lojas em Maputo e Matola que vende materiais de construção, acabamentos e artigos para a casa a particulares e empreiteiros, com entrega ao domicílio e aconselhamento técnico.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1.7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Estrutura: lojas e equipas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O RH confirma o número de colaboradores por unidade.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2600"/>
        <w:gridCol w:w="2738"/>
        <w:gridCol w:w="1700"/>
      </w:tblGrid>
      <w:tr>
        <w:trPr>
          <w:cantSplit/>
          <w:tblHeader/>
        </w:trPr>
        <w:tc>
          <w:tcPr>
            <w:tcW w:type="dxa" w:w="26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Loja / Unidade</w:t>
            </w:r>
          </w:p>
        </w:tc>
        <w:tc>
          <w:tcPr>
            <w:tcW w:type="dxa" w:w="26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Localização</w:t>
            </w:r>
          </w:p>
        </w:tc>
        <w:tc>
          <w:tcPr>
            <w:tcW w:type="dxa" w:w="27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Nº colaboradores</w:t>
            </w:r>
          </w:p>
        </w:tc>
      </w:tr>
      <w:tr>
        <w:trPr>
          <w:cantSplit/>
          <w:trHeight w:val="33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Loja 1</w:t>
            </w: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7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1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Loja 2</w:t>
            </w: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7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1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Loja 3</w:t>
            </w: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7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1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Sede / Escritório</w:t>
            </w: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7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1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1.8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Tempo de mercado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Menos de 1 ano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1 a 3 anos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3 a 5 anos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5 a 10 anos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Mais de 10 anos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1.9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Facturação mensal estimada (confidencial)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Média dos últimos 6 meses, fornecida pelo Financeiro.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Média: 12.500.000 MZN/mês (Abril–Setembro 2026).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FFFFFF"/>
          <w:sz w:val="14"/>
          <w:szCs w:val="14"/>
          <w:shd w:fill="2E5BE6" w:color="auto" w:val="clear"/>
        </w:rPr>
        <w:t xml:space="preserve">EVIDÊNCIA A ANEXAR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  Relatório de vendas mensal.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1.10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Evolução das vendas nos últimos 12 meses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Compare o total dos últimos 12 meses com os 12 meses anteriores.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Crescimento acima de 10%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Crescimento até 10%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Estável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Queda até 10%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Queda acima de 10%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1.11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Principal desafio que motivou este diagnóstico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Descreva o problema em factos: o quê, desde quando, onde e com que impacto.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Redução de cerca de 15% nas vendas desde Março; atendimento diferente entre as 3 lojas; clientes que pedem orçamento e não recebem follow-up.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02 · Público-Alvo &amp; Cliente Ideal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02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Marketing · Comercial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Público-Alvo &amp; Cliente Ideal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25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Marketing + gerente de loja + vendedor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Definir com precisão quem compra, porque compra e o que o impede de comprar. É a base de toda a comunicação e do tráfego pago.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Facturação por tipo de cliente, base de clientes/CRM, estatísticas das redes (Meta Business Suite), conversa com os vendedores de balcão.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Reúna-se 30 minutos com os vendedores que mais atendem: eles conhecem as perguntas e objecções reais. Liste as 10 perguntas mais frequentes dos clientes. Use as estatísticas das redes para confirmar a idade e a localização.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Captura das estatísticas das redes (idade, género, localização) · Facturação por tipo de cliente.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Tipo de cliente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Indique também o peso aproximado de cada tipo nas vendas.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Particulares 55% · Empreiteiros 30% · Empresas 15%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Particulares (obra própria / remodelação)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Empreiteiros e construtores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Arquitectos e designers de interiores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Empresas e instituições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Revendedores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Outro</w:t>
            </w:r>
          </w:p>
        </w:tc>
      </w:tr>
    </w:tbl>
    <w:p>
      <w:pPr>
        <w:keepLines/>
        <w:spacing w:after="0" w:before="60" w:line="276" w:lineRule="auto"/>
      </w:pPr>
      <w:r>
        <w:rPr>
          <w:rFonts w:ascii="Google Sans" w:cs="Google Sans" w:eastAsia="Google Sans" w:hAnsi="Google Sans"/>
          <w:color w:val="5B6384"/>
          <w:sz w:val="17"/>
          <w:szCs w:val="17"/>
        </w:rPr>
        <w:t xml:space="preserve">Outro / detalhe: ________________________________________________</w:t>
      </w:r>
    </w:p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Faixa etária predominante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18 a 24 anos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25 a 34 anos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35 a 44 anos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45 a 54 anos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55 anos ou mais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Género predominante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Maioritariamente masculino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Maioritariamente feminino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Equilibrado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Localização geográfica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Onde vivem ou trabalham os clientes. Se possível, indique percentagens.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Maputo Cidade 50% · Matola 35% · Marracuene e Boane 10% · Outras províncias 5%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Classe socioeconómica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A: Alta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B: Média-alta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C: Média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D: Média-baixa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Principais dores / problemas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Pergunte aos vendedores: "Com que problema o cliente chega à loja?"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Não sabe quanta quantidade de material precisa; medo de comprar com baixa qualidade; falta de produto em stock; dificuldade de transporte.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2.7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Principais desejos / aspirações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O resultado final que o cliente quer alcançar, não o produto.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Terminar a obra dentro do orçamento; ter uma casa bonita e segura; ser bem aconselhado e confiar no fornecedor.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2.8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Objecções mais comuns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Frases que os clientes dizem antes de desistir da compra.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"Está mais caro que na concorrência." · "Vou pensar." · "Não entregam no mesmo dia?"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2.9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Gatilhos de decisão de compra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Preço / promoção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Disponibilidade imediata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Qualidade / marca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Entrega ao domicílio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Crédito / condições de pagamento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Atendimento e aconselhamento técnico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Variedade de produtos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Garantia / assistência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Localização / conveniência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Recomendação de terceiros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2.10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Plataformas digitais que o público mais frequenta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Instagram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Facebook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TikTok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YouTube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LinkedIn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WhatsApp / Telegram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Google (pesquisa)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Twitter / X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Pinterest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Podcasts / Spotify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2.11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Estágio de consciência do público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Essencial para o copy e o tráfego pago. Escolha o estágio da maioria dos clientes.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Não consciente: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não sabe que tem o problema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Consciente do problema: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mas não conhece a solução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Consciente da solução: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mas não conhece o produto/marca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Consciente do produto: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mas ainda não decidiu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Mais consciente: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quase pronto para comprar</w:t>
            </w: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03 · Posicionamento &amp; Marca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03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Marketing · Direcção-Geral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Posicionamento &amp; Marca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20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Direcção-Geral + Marketing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Definir como a marca quer ser percebida, contra quem compete e como deve falar.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Manual de marca, peças já publicadas, avaliações de clientes (Google, Facebook), observação das lojas e redes dos concorrentes.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Escreva a proposta de valor numa só frase. Para o posicionamento actual, pergunte a 5 clientes: "Porque compra aqui e não noutro lado?". Visite as redes e as lojas de 2 a 5 concorrentes.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Manual de marca ou logótipo em alta resolução · Exemplos de peças publicadas.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Proposta de Valor Única (PVU)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Complete a frase-modelo com a realidade da empresa.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Para [público] que [necessidade], a [marca] é [categoria] que [benefício principal], porque [prova / diferencial].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Posicionamento actual percebido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Como os clientes descrevem a marca hoje (avaliações, conversas, reclamações).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"Tem de tudo, mas o atendimento varia muito de loja para loja."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Posicionamento desejado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 referência em Maputo para quem constrói ou remodela: variedade, aconselhamento técnico e entrega rápida.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Principais concorrentes (2 a 5)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2000"/>
        <w:gridCol w:w="2669"/>
        <w:gridCol w:w="2669"/>
      </w:tblGrid>
      <w:tr>
        <w:trPr>
          <w:cantSplit/>
          <w:tblHeader/>
        </w:trPr>
        <w:tc>
          <w:tcPr>
            <w:tcW w:type="dxa" w:w="23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Concorrente</w:t>
            </w:r>
          </w:p>
        </w:tc>
        <w:tc>
          <w:tcPr>
            <w:tcW w:type="dxa" w:w="20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Onde actua</w:t>
            </w:r>
          </w:p>
        </w:tc>
        <w:tc>
          <w:tcPr>
            <w:tcW w:type="dxa" w:w="2669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Ponto forte</w:t>
            </w:r>
          </w:p>
        </w:tc>
        <w:tc>
          <w:tcPr>
            <w:tcW w:type="dxa" w:w="2669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Ponto fraco</w:t>
            </w:r>
          </w:p>
        </w:tc>
      </w:tr>
      <w:tr>
        <w:trPr>
          <w:cantSplit/>
          <w:trHeight w:val="330" w:hRule="atLeast"/>
        </w:trPr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Tom de voz principal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Profissional / Sério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Inspirador / Motivacional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Próximo / Amigável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Humorístico / Leve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Educativo / Didáctico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Provocador / Disruptivo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Autoritário / Especialista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Simpático / Acolhedor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O que não combina com a marca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Linguagem demasiado informal; humor sobre segurança na obra; promessas de "o mais barato do mercado".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3.7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Palavras-chave da marca (5 a 10)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Palavras que devem aparecer de forma consistente na comunicação.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confiança · variedade · obra · casa · qualidade · rapidez · aconselhamento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3.8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Marcas ou perfis de referência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Indique o link e o que admira em cada uma.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@marca_x: fotografia de produto · @marca_y: vídeos de dicas curtos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3.9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Identidade visual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FFFFFF"/>
          <w:sz w:val="14"/>
          <w:szCs w:val="14"/>
          <w:shd w:fill="2E5BE6" w:color="auto" w:val="clear"/>
        </w:rPr>
        <w:t xml:space="preserve">EVIDÊNCIA A ANEXAR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  Manual de marca ou logótipo em alta resolução (PNG/SVG/PDF).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completa (manual de marca)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parcial (logótipo + cores)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mas precisa de actualização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Não: será desenvolvida do zero</w:t>
            </w: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04 · Objectivos &amp; Metas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04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Direcção-Geral · Marketing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Objectivos &amp; Metas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Director-Geral + Marketing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Definir um objectivo principal mensurável e o que significa sucesso. Sem meta clara não há estratégia.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Orçamento anual, plano de negócios, metas comerciais por loja.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Escolha só um objectivo principal. Transforme-o numa meta com número e prazo (ex.: +20% de vendas até Março). Indique o que precisa de ver em 6 meses para considerar o trabalho um sucesso.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Mapa de metas do ano por loja.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4.1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Objectivo principal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Lançamento (produto, serviço ou loja)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Geração de leads qualificados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Crescimento orgânico de audiência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Construção e consolidação de autoridade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Vendas directas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Reposicionamento de marca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Lançamento de nova marca do zero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Escalar vendas já existentes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4.2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Serviços pretendidos da Midia Pro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Planeamento estratégico e posicionamento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Branding digital / identidade visual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Copywriting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Design gráfico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Videomaking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Social media / produção de conteúdo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Gestão de tráfego pago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Inside Sales / processo comercial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Desenvolvimento tecnológico (web, automação)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Formação: liderança, atendimento e vendas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4.3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Meta quantitativa principal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Número + indicador + prazo.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Aumentar as vendas mensais de 12,5 M para 15 M MZN (+20%) até Março de 2027.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4.4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Resultado que define sucesso para o cliente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Vendas a crescer 3 meses seguidos, atendimento igual nas 3 lojas e 100% dos orçamentos com follow-up em 48h.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4.5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Calendário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Data de início *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Prazo / data de entrega *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4.6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KPIs a monitorizar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Alcance / impressões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Taxa de interacção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Seguidores ganhos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Leads gerados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Custo por lead (CPL)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Taxa de conversão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Custo por aquisição (CPA)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ROAS / ROI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Receita gerada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Visualizações de vídeo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05 · Oferta, Produtos &amp; Pontos de Venda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05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Comercial · Compras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Oferta, Produtos &amp; Pontos de Venda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Comercial + Compras + Financeiro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Saber o que vamos comunicar, a que preço e porque é melhor do que a alternativa.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 de vendas por categoria, margens, tabela de preços, catálogo, avaliações de clientes.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Escolha as categorias que mais vendem e as que se quer fazer crescer (maior margem). Ticket médio = facturação do mês ÷ número de facturas do mês.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Top 20 produtos por facturação · Tabela de preços ou catálogo · Campanhas em curso.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5.1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Produtos / categorias prioritárias a comunicar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Peso nas vendas: relatório por categoria. Margem: indicação do Financeiro.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38"/>
        <w:gridCol w:w="2000"/>
        <w:gridCol w:w="2400"/>
        <w:gridCol w:w="1800"/>
      </w:tblGrid>
      <w:tr>
        <w:trPr>
          <w:cantSplit/>
          <w:tblHeader/>
        </w:trPr>
        <w:tc>
          <w:tcPr>
            <w:tcW w:type="dxa" w:w="34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Categoria / produto</w:t>
            </w:r>
          </w:p>
        </w:tc>
        <w:tc>
          <w:tcPr>
            <w:tcW w:type="dxa" w:w="20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Peso nas vendas (%)</w:t>
            </w:r>
          </w:p>
        </w:tc>
        <w:tc>
          <w:tcPr>
            <w:tcW w:type="dxa" w:w="24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Margem (Alta/Média/Baixa)</w:t>
            </w:r>
          </w:p>
        </w:tc>
        <w:tc>
          <w:tcPr>
            <w:tcW w:type="dxa" w:w="18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Prioridade (1 a 3)</w:t>
            </w:r>
          </w:p>
        </w:tc>
      </w:tr>
      <w:tr>
        <w:trPr>
          <w:cantSplit/>
          <w:trHeight w:val="330" w:hRule="atLeast"/>
        </w:trPr>
        <w:tc>
          <w:tcPr>
            <w:tcW w:type="dxa" w:w="3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1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3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1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3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1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3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1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5.2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Preço / ticket médio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Ticket médio: 8.500 MZN por factura (Setembro 2026). Particulares 4.000 MZN · Empreiteiros 35.000 MZN.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5.3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Promessa central da oferta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Complete: "Ao comprar na [marca], o cliente vai conseguir…"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…encontrar tudo para a obra num só lugar, com aconselhamento e entrega no próprio dia.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5.4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Diferenciais incluídos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Entrega ao domicílio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Crédito / pagamento a prestações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Orçamento gratuito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Aconselhamento técnico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Garantia / assistência pós-venda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Programa de fidelização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Condições para profissionais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Outro</w:t>
            </w:r>
          </w:p>
        </w:tc>
      </w:tr>
    </w:tbl>
    <w:p>
      <w:pPr>
        <w:keepLines/>
        <w:spacing w:after="0" w:before="60" w:line="276" w:lineRule="auto"/>
      </w:pPr>
      <w:r>
        <w:rPr>
          <w:rFonts w:ascii="Google Sans" w:cs="Google Sans" w:eastAsia="Google Sans" w:hAnsi="Google Sans"/>
          <w:color w:val="5B6384"/>
          <w:sz w:val="17"/>
          <w:szCs w:val="17"/>
        </w:rPr>
        <w:t xml:space="preserve">Outro / detalhe: ________________________________________________</w:t>
      </w:r>
    </w:p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5.5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Provas sociais disponíveis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Links ou descrição do que existe e pode ser usado na comunicação.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Avaliações Google 4,5 estrelas (320 avaliações) · vídeos de clientes · fotos de obras realizadas · parceiros e marcas representadas.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5.6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Pontos e canais de venda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Lojas físicas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WhatsApp Business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Website / loja online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Redes sociais (mensagens)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Telefone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Vendedores externos / B2B</w:t>
            </w: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06 · Comunicação &amp; Conteúdo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06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Marketing · Social Media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Comunicação &amp; Conteúdo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Marketing / Social Media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Dimensionar a produção de conteúdo (o que, quanto e onde) para orçamentar e planear a equipa criativa.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Calendário editorial actual, estatísticas das redes, arquivo de fotos e vídeos.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No inventário, indique a quantidade mensal desejada de cada peça (deixe em branco o que não precisa). Para os pilares, pense no que o cliente quer aprender ou ver.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Link para a pasta de conteúdos existentes (fotos, vídeos, artes).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6.1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Inventário de peças (quantidade mensal)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900"/>
        <w:gridCol w:w="1100"/>
        <w:gridCol w:w="2600"/>
        <w:gridCol w:w="3038"/>
      </w:tblGrid>
      <w:tr>
        <w:trPr>
          <w:cantSplit/>
          <w:tblHeader/>
        </w:trPr>
        <w:tc>
          <w:tcPr>
            <w:tcW w:type="dxa" w:w="29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Tipo de peça</w:t>
            </w:r>
          </w:p>
        </w:tc>
        <w:tc>
          <w:tcPr>
            <w:tcW w:type="dxa" w:w="11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Qtd./mês</w:t>
            </w:r>
          </w:p>
        </w:tc>
        <w:tc>
          <w:tcPr>
            <w:tcW w:type="dxa" w:w="26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Plataforma / destino</w:t>
            </w:r>
          </w:p>
        </w:tc>
        <w:tc>
          <w:tcPr>
            <w:tcW w:type="dxa" w:w="30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Referência / observação</w:t>
            </w: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Posts estáticos (feed)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Carrosséis / sequências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Stories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Reels / vídeos curtos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Vídeos longos / YouTube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Vídeo de vendas (VSL)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Criativos para anúncios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Copywriting (textos)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Email marketing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Landing page / funil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Outros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6.2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Frequência de publicação esperada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Diária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5x por semana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3x por semana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2x por semana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1x por semana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Só para campanhas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6.3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O cliente participa nas gravações?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é o rosto / a voz do conteúdo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Parcialmente: conteúdo misto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Não: conteúdo 100% produzido pela equipa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definir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6.4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Temas / pilares de conteúdo (3 a 5)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Dicas de obra e remodelação · Novidades e promoções · Inspiração de decoração · Bastidores e equipa · Testemunhos de clientes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6.5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Links de conteúdo já produzido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Link do Google Drive / Dropbox com fotos de produtos, das lojas e vídeos.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07 · Tráfego Pago &amp; Funil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07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Marketing · Financeiro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Tráfego Pago &amp; Funil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Marketing + Financeiro (orçamento)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Conhecer o investimento disponível, o histórico de anúncios e o caminho que o cliente percorre até comprar.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Gestor de Anúncios Meta / Google Ads (últimos 6 meses), despesas de publicidade, bases de contactos (WhatsApp, email).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Exporte do Gestor de Anúncios: investimento, resultados e custo por resultado. Conte os contactos de cada base. Desenhe o funil actual em setas, do primeiro contacto à compra.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 de anúncios dos últimos 6 meses (exportação em Excel/PDF).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Orçamento mensal para tráfego pago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Valor destinado só aos anúncios (sem honorários da agência).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50.000 MZN/mês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Plataformas para anunciar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Meta Ads (Facebook/Instagram)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Google Ads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TikTok Ads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YouTube Ads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LinkedIn Ads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definir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Objectivo do tráfego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Geração de leads (captação)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Conversão directa em vendas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Reconhecimento de marca (topo de funil)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Tráfego para conteúdo / interacção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Retargeting de audiência quente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Pixel / tag de rastreio instalado?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Meta Pixel activo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Google Tag Manager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Ambos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Não: será instalado pela equipa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 sei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Histórico de anúncios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Nunca anunciou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Já anunciou: conta activa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Já anunciou: conta inactiva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Conta com restrições / bloqueada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CPA ou CPL máximo aceitável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Até 150 MZN por lead · até 1.500 MZN por venda.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7.7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Audiência / base própria existente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WhatsApp: 4.200 contactos · Email: 1.100 · Instagram: 12 mil seguidores · Facebook: 35 mil seguidores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7.8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Funil de vendas actual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Descreva o caminho em setas, do primeiro contacto à compra.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Anúncio no Facebook → mensagem no WhatsApp → orçamento enviado → visita à loja → compra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08 · Processo Comercial &amp; Vendas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08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Comercial · Lojas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Processo Comercial &amp; Vendas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25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Direcção Comercial + Gerentes das lojas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Mapear o processo real de recepção, encaminhamento e follow-up de clientes e o uso de métricas na gestão comercial.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Relatórios de vendas, metas por loja e por vendedor, mapas de follow-up (CRM, Excel, WhatsApp).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Acompanhe um período de atendimento em cada loja. Calcule a conversão: vendas fechadas ÷ orçamentos (ou leads) do mês. Peça a cada gerente para mostrar onde regista os clientes que ainda não compraram.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Metas e resultados do último mês · Exemplo de mapa de follow-up · Script de vendas (se existir).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Método de venda actual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Venda ao balcão na loja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Venda por WhatsApp / mensagens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Chamada telefónica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Visita / reunião com cliente (B2B)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Orçamentos por email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Loja online / checkout automático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Webinar / evento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Sem processo definido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Dimensão da equipa de vendas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Total de vendedores e atendedores nas lojas e no comercial.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1 a 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6 a 10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11 a 20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Mais de 20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Metas do último mês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Meta: 13.000.000 MZN · Resultado: 11.200.000 MZN (86%)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FFFFFF"/>
          <w:sz w:val="14"/>
          <w:szCs w:val="14"/>
          <w:shd w:fill="2E5BE6" w:color="auto" w:val="clear"/>
        </w:rPr>
        <w:t xml:space="preserve">EVIDÊNCIA A ANEXAR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  Mapa de metas e resultados por loja.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Meta definida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Resultado alcançado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Taxa de conversão actual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Vendas fechadas ÷ orçamentos ou leads recebidos no mês × 100.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35% (140 vendas ÷ 400 orçamentos em Setembro). Se não for medida, escreva "não medida".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Follow-up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85 oportunidades · 40% dentro do prazo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Oportunidades em follow-up hoje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% com follow-up dentro do prazo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CRM / ferramenta de gestão de leads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FFFFFF"/>
          <w:sz w:val="14"/>
          <w:szCs w:val="14"/>
          <w:shd w:fill="2E5BE6" w:color="auto" w:val="clear"/>
        </w:rPr>
        <w:t xml:space="preserve">EVIDÊNCIA A ANEXAR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  Captura de ecrã ou exemplo do registo (sem dados pessoais).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Nenhuma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Caderno / papel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Excel / Google Sheets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WhatsApp Business (etiquetas)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CRM (indique qual)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Sistema de facturação</w:t>
            </w:r>
          </w:p>
        </w:tc>
      </w:tr>
    </w:tbl>
    <w:p>
      <w:pPr>
        <w:keepLines/>
        <w:spacing w:after="0" w:before="60" w:line="276" w:lineRule="auto"/>
      </w:pPr>
      <w:r>
        <w:rPr>
          <w:rFonts w:ascii="Google Sans" w:cs="Google Sans" w:eastAsia="Google Sans" w:hAnsi="Google Sans"/>
          <w:color w:val="5B6384"/>
          <w:sz w:val="17"/>
          <w:szCs w:val="17"/>
        </w:rPr>
        <w:t xml:space="preserve">Outro / detalhe: ________________________________________________</w:t>
      </w:r>
    </w:p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8.7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Jornada do cliente (do primeiro contacto à compra)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Descreva os passos reais, quem actua em cada um e onde fica registado.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1. Cliente envia mensagem no WhatsApp → 2. Recepção encaminha ao vendedor da loja → 3. Vendedor envia orçamento em 24h → 4. Liga 2 dias depois → 5. Cliente compra na loja.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8.8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Tempo do primeiro contacto com um novo lead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Menos de 1 hora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No mesmo dia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Até 24 horas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Até 48 horas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Sem prazo definido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8.9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Regista o motivo quando o cliente não compra?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Sim, sempre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Às vezes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8.10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Script / argumentário de vendas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Existe e é usado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Existe mas não é usado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 existe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8.11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Principal obstáculo no processo de vendas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Os orçamentos enviados não são acompanhados e ninguém controla se o vendedor voltou a contactar o cliente.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09 · Tecnologia &amp; Sistemas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09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TI · Marketing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Tecnologia &amp; Sistemas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10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TI / sistemas + Marketing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Saber que ferramentas existem, o que precisa de ser criado e o que pode ser automatizado.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Lista de sistemas (facturação/ERP, POS, website), contas de domínio e alojamento, acessos às redes.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Liste todos os sistemas e quem os administra. Confirme quem tem acesso ao domínio e ao alojamento.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Lista de sistemas.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Atenção: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palavras-passe nunca devem ser escritas neste documento; serão pedidas por canal seguro.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9.1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Necessita de desenvolvimento web?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Landing page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Site institucional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E-commerce / loja online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Área de membros / portal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Automação / chatbot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Integrações / APIs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App móvel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 necessita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9.2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Plataformas / ferramentas actuais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Facturação: Primavera · Site: WordPress · WhatsApp Business · Meta Business Suite · Email: Google Workspace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9.3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Acesso ao domínio e alojamento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acesso total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Parcial: precisa de apoio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 tem domínio: será criado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9.4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Necessidades de automação de marketing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Resposta automática no WhatsApp; lembrete de orçamento 48h depois; catálogo digital partilhável.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10 · Aprovações, Contexto &amp; Materiais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10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Direcção-Geral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Aprovações, Contexto &amp; Materiais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10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Director-Geral (ponto focal)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Definir como vamos trabalhar juntos: quem aprova, em quanto tempo e que materiais estão disponíveis.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Experiência com fornecedores anteriores, regras internas de aprovação, arquivo de materiais da marca.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Defina uma só pessoa com poder de aprovação final. Partilhe todos os materiais numa única pasta com nomes claros.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Link da pasta partilhada com os materiais.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Experiências anteriores com agências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O que funcionou e o que não funcionou.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Agência X (2024): bom design, mas sem relatórios de resultados nem cumprimento de prazos.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Restrições legais ou regulatórias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Não comunicar preços em anúncios; uso obrigatório do logótipo de marcas parceiras.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Processo de aprovação de materiais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Aprovação directa pelo cliente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Equipa de marketing interna aprova primeiro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Direcção aprova: processo mais lento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Aprovação automática (confiança total na equipa)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Responsável pela aprovação final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Nome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Cargo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Prazo médio para feedback / aprovação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Menos de 24 horas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1 a 2 dias úteis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3 a 5 dias úteis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Mais de 5 dias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Materiais a partilhar com a equipa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Assinale o que vai partilhar e indique o link abaixo.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Link do Google Drive, Dropbox ou WeTransfer: https://…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Logótipo em alta resolução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Manual de marca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Fotos das lojas / produtos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Vídeos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Catálogo / tabela de preços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Relatórios de vendas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Organigrama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 de anúncios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Outro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10.7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Link da pasta partilhada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10.8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Informação adicional relevante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pageBreakBefore/>
        <w:spacing w:after="60"/>
      </w:pPr>
      <w:r>
        <w:rPr>
          <w:rFonts w:ascii="Google Sans" w:cs="Google Sans" w:eastAsia="Google Sans" w:hAnsi="Google Sans"/>
          <w:b/>
          <w:bCs/>
          <w:caps/>
          <w:color w:val="2E5BE6"/>
          <w:spacing w:val="40"/>
          <w:sz w:val="18"/>
          <w:szCs w:val="18"/>
        </w:rPr>
        <w:t xml:space="preserve">Parte B · RH &amp; Cultura</w:t>
      </w:r>
    </w:p>
    <w:p>
      <w:pPr>
        <w:pStyle w:val="Heading1"/>
        <w:keepNext/>
        <w:pBdr>
          <w:bottom w:val="single" w:color="011169" w:sz="12" w:space="6"/>
        </w:pBdr>
      </w:pPr>
      <w:r>
        <w:rPr>
          <w:rFonts w:ascii="Google Sans" w:cs="Google Sans" w:eastAsia="Google Sans" w:hAnsi="Google Sans"/>
        </w:rPr>
        <w:t xml:space="preserve">Parte B · Diagnóstico de Liderança</w:t>
      </w:r>
    </w:p>
    <w:p>
      <w:pPr>
        <w:keepLines/>
        <w:spacing w:after="160" w:before="0" w:line="276" w:lineRule="auto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Esta componente avalia os factores internos que podem influenciar a consistência do atendimento, a comunicação, o acompanhamento comercial e os resultados das três lojas. É conduzida por </w:t>
      </w: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Mirza Jamal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, especialista subcontratada pela Midia Pro em cultura organizacional, liderança, comunicação interna, atendimento, vendas e relacionamento com o cliente.</w:t>
      </w:r>
    </w:p>
    <w:p>
      <w:pPr>
        <w:keepLines/>
        <w:spacing w:after="200" w:before="0" w:line="276" w:lineRule="auto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As observações da reunião inicial são tratadas como </w:t>
      </w: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hipóteses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e validadas com entrevistas, evidências, observação dos processos e comparação entre as unidades.</w:t>
      </w: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Objectivos do diagnóstico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Avaliar o alinhamento entre Direcção, liderança intermédia e equipas operacionais.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Identificar a clareza de papéis, responsabilidades, metas e mecanismos de responsabilização.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Compreender como a comunicação interna flui entre as lojas e as áreas Comercial, Marketing e RH.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Mapear o processo real de recepção, encaminhamento e follow-up de clientes e oportunidades.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Avaliar a utilização de métricas na gestão das equipas e na tomada de decisão.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Identificar gaps de liderança, cultura, comunicação e execução que afectem a experiência do cliente e os resultados.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Produzir recomendações para uma intervenção posterior de alinhamento e capacitação.</w:t>
      </w:r>
    </w:p>
    <w:p>
      <w:pPr>
        <w:spacing w:after="0" w:before="0" w:line="16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Metodologia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3400"/>
        <w:gridCol w:w="5338"/>
      </w:tblGrid>
      <w:tr>
        <w:trPr>
          <w:cantSplit/>
          <w:tblHeader/>
        </w:trPr>
        <w:tc>
          <w:tcPr>
            <w:tcW w:type="dxa" w:w="9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34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Método</w:t>
            </w:r>
          </w:p>
        </w:tc>
        <w:tc>
          <w:tcPr>
            <w:tcW w:type="dxa" w:w="53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Entrevistas individuais</w:t>
            </w:r>
          </w:p>
        </w:tc>
        <w:tc>
          <w:tcPr>
            <w:tcW w:type="dxa" w:w="5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Percepções, práticas e responsabilidades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Recolha de evidências</w:t>
            </w:r>
          </w:p>
        </w:tc>
        <w:tc>
          <w:tcPr>
            <w:tcW w:type="dxa" w:w="5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Metas, relatórios, mapas de follow-up, CRM/Excel/WhatsApp ou outros registos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Observação das lojas e processos</w:t>
            </w:r>
          </w:p>
        </w:tc>
        <w:tc>
          <w:tcPr>
            <w:tcW w:type="dxa" w:w="5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Diferenças de comunicação, atendimento e execução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Cruzamento de informação</w:t>
            </w:r>
          </w:p>
        </w:tc>
        <w:tc>
          <w:tcPr>
            <w:tcW w:type="dxa" w:w="5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Convergências, discrepâncias e gaps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Relatório consolidado</w:t>
            </w:r>
          </w:p>
        </w:tc>
        <w:tc>
          <w:tcPr>
            <w:tcW w:type="dxa" w:w="5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Prioridades, riscos e recomendações</w:t>
            </w:r>
          </w:p>
        </w:tc>
      </w:tr>
    </w:tbl>
    <w:p>
      <w:pPr>
        <w:spacing w:after="0" w:before="0" w:line="2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conduzir o diagnóstico de liderança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Quem responde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Director-Geral, RH, responsáveis comerciais e lideranças das três lojas.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Um instrumento por pessoa.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Formato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Entrevista individual de 45 a 60 minutos, em local reservado. O instrumento pode ser enviado antes, mas as respostas são confirmadas na entrevista.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Preparação do líder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Trazer as metas e o resultado do último mês, o relatório de acompanhamento da equipa e o registo de follow-up que usa.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Durante a entrevista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Pedir exemplos concretos e pedir para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mostrar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os registos ("mostre-me como acompanha os clientes que ainda não compraram").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Depois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Registar as evidências vistas e as discrepâncias no quadro do entrevistador (B9). Consolidar por dimensão na matriz da Parte C.</w:t>
            </w:r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80"/>
              <w:left w:type="dxa" w:w="280"/>
              <w:bottom w:type="dxa" w:w="180"/>
              <w:right w:type="dxa" w:w="200"/>
            </w:tcMar>
            <w:vAlign w:val="top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8"/>
                <w:szCs w:val="28"/>
              </w:rPr>
              <w:t xml:space="preserve">Instrumento individual de diagnóstico</w:t>
            </w:r>
          </w:p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9DB2FF"/>
                <w:sz w:val="17"/>
                <w:szCs w:val="17"/>
              </w:rPr>
              <w:t xml:space="preserve">Preencher um exemplar por líder · Respostas confidenciais, consolidadas por dimensão</w:t>
            </w:r>
          </w:p>
        </w:tc>
      </w:tr>
    </w:tbl>
    <w:p>
      <w:pPr>
        <w:spacing w:after="0" w:before="0" w:line="120" w:lineRule="exact"/>
      </w:pPr>
    </w:p>
    <w:p>
      <w:pPr>
        <w:keepLines/>
        <w:spacing w:after="120" w:before="0" w:line="276" w:lineRule="auto"/>
      </w:pPr>
      <w:r>
        <w:rPr>
          <w:rFonts w:ascii="Google Sans" w:cs="Google Sans" w:eastAsia="Google Sans" w:hAnsi="Google Sans"/>
          <w:color w:val="5B6384"/>
          <w:sz w:val="17"/>
          <w:szCs w:val="17"/>
        </w:rPr>
        <w:t xml:space="preserve">Respondente nº ______     Data da entrevista ____/____/______     Entrevistador(a) ___________________________</w:t>
      </w: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B1 · Identificação</w:t>
      </w:r>
    </w:p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B1.1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Cargo e área / loja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Cargo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Área / Loja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B1.2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Experiência e equipa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Tempo na empresa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Nº de colaboradores sob a sua responsabilidade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16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B2 · Liderança e gestão da equipa</w:t>
      </w:r>
    </w:p>
    <w:p>
      <w:pPr>
        <w:keepLines/>
        <w:spacing w:after="100" w:before="0" w:line="276" w:lineRule="auto"/>
      </w:pPr>
      <w:r>
        <w:rPr>
          <w:rFonts w:ascii="Google Sans" w:cs="Google Sans" w:eastAsia="Google Sans" w:hAnsi="Google Sans"/>
          <w:color w:val="5B6384"/>
          <w:sz w:val="17"/>
          <w:szCs w:val="17"/>
        </w:rPr>
        <w:t xml:space="preserve">Assinale de 1 a 5 o grau em que cada afirmação descreve a realidade actual da sua equipa.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838"/>
        <w:gridCol w:w="760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type="dxa" w:w="58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Afirmação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Muito fraco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Fraco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Razoável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Bom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Excelente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B2.1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equipa conhece claramente as suas metas.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B2.2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Cada colaborador sabe exactamente o que se espera dele.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B2.3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Existe acompanhamento regular do desempenho da equipa.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B2.4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Os colaboradores recebem feedback sobre o seu desempenho.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B2.5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As dificuldades de desempenho são identificadas e tratadas atempadamente.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B2.6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equipa sente-se confortável para comunicar problemas e propor soluções.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B2.7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As decisões tomadas pela liderança são efectivamente implementadas.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B2.8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Existe responsabilização quando tarefas ou follow-ups não são executados.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</w:tbl>
    <w:p>
      <w:pPr>
        <w:spacing w:after="0" w:before="0" w:line="16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B3 · Comunicação interna e alinhamento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838"/>
        <w:gridCol w:w="760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type="dxa" w:w="58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Afirmação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Muito fraco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Fraco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Razoável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Bom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Excelente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B3.1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comunicação entre Direcção e liderança é clara.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B3.2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comunicação entre liderança e colaboradores é consistente.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B3.3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As três lojas recebem orientações institucionais consistentes.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B3.4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Comercial, Marketing, RH e lojas trabalham de forma coordenada.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B3.5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As informações importantes chegam às equipas atempadamente.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B3.6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Existem canais claros para comunicar problemas e decisões.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B3.7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Os colaboradores compreendem as prioridades comerciais da empresa.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B3.8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Onde considera que ocorre actualmente a maior falha de comunicação interna?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12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B4 · Gestão comercial e métricas</w:t>
      </w:r>
    </w:p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B4.1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Quais são os cinco principais indicadores que utiliza para gerir a sua equipa?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B4.2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Qual era a meta da sua área no último mês e qual foi o resultado alcançado?</w:t>
      </w:r>
    </w:p>
    <w:p>
      <w:pPr>
        <w:keepNext/>
        <w:spacing w:after="60" w:before="0"/>
        <w:ind w:left="5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Dica para o entrevistador: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pedir para ver o relatório.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B4.3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Qual é a taxa de conversão de clientes/leads em vendas?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B4.4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Quantos clientes/oportunidades estão actualmente em follow-up?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B4.5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 percentagem recebe follow-up dentro do prazo definido?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B4.6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Quando os dados não estão disponíveis, como avalia o desempenho da sua equipa?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12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B5 · Jornada do cliente e follow-up</w:t>
      </w:r>
    </w:p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B5.1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Descreva o percurso de um cliente desde o primeiro contacto até à conclusão da compra.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B5.2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Quem recebe o lead ou contacto do cliente?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B5.3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Quem é responsável pelo primeiro contacto e em quanto tempo deve fazê-lo?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B5.4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Onde ficam registados os contactos, propostas e follow-ups?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B5.5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Quem verifica se o follow-up foi efectivamente realizado?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B5.6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O que acontece quando o follow-up não é realizado?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B5.7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Quando o cliente não compra, é registado o motivo? Como?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B5.8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Mostre, por favor, como acompanha actualmente os clientes que ainda não compraram.</w:t>
      </w:r>
    </w:p>
    <w:p>
      <w:pPr>
        <w:keepNext/>
        <w:spacing w:after="60" w:before="0"/>
        <w:ind w:left="5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Dica para o entrevistador: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registar o que foi efectivamente mostrado (ferramenta, actualização, responsável).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12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B6 · Cultura e responsabilização</w:t>
      </w:r>
    </w:p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B6.1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Quando uma meta não é atingida, qual é normalmente a primeira pergunta feita pela liderança?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B6.2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Quais considera serem as três principais causas da actual redução das vendas?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B6.3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Qual é a responsabilidade da liderança perante estes resultados?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B6.4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Qual é a responsabilidade dos colaboradores?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B6.5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 mudança deveria começar por…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38"/>
      </w:tblGrid>
      <w:tr>
        <w:trPr>
          <w:cantSplit/>
          <w:trHeight w:val="70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…pela Direcção</w:t>
            </w:r>
          </w:p>
        </w:tc>
        <w:tc>
          <w:tcPr>
            <w:tcW w:type="dxa" w:w="7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120" w:before="0" w:line="276" w:lineRule="auto"/>
            </w:pPr>
          </w:p>
        </w:tc>
      </w:tr>
      <w:tr>
        <w:trPr>
          <w:cantSplit/>
          <w:trHeight w:val="70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…pelas lideranças intermédias</w:t>
            </w:r>
          </w:p>
        </w:tc>
        <w:tc>
          <w:tcPr>
            <w:tcW w:type="dxa" w:w="7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120" w:before="0" w:line="276" w:lineRule="auto"/>
            </w:pPr>
          </w:p>
        </w:tc>
      </w:tr>
      <w:tr>
        <w:trPr>
          <w:cantSplit/>
          <w:trHeight w:val="70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…pelos colaboradores</w:t>
            </w:r>
          </w:p>
        </w:tc>
        <w:tc>
          <w:tcPr>
            <w:tcW w:type="dxa" w:w="7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120" w:before="0" w:line="276" w:lineRule="auto"/>
            </w:pPr>
          </w:p>
        </w:tc>
      </w:tr>
    </w:tbl>
    <w:p>
      <w:pPr>
        <w:spacing w:after="0" w:before="0" w:line="12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B7 · Abertura à mudança</w:t>
      </w:r>
    </w:p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B7.1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Nos últimos 12 meses, que mudança foi implementada na sua equipa e que resultados produziu?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B7.2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Quando recebe uma recomendação com a qual não concorda, como procede?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B7.3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 mudança considera mais urgente na empresa?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B7.4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 mudança considera menos prioritária neste momento? Porquê?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tabs>
          <w:tab w:val="left" w:pos="520"/>
        </w:tabs>
        <w:spacing w:after="8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B7.5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De 0 a 10, qual é a sua disponibilidade para alterar processos da sua área se os dados demonstrarem que o modelo actual não está a funcionar? (circule)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8"/>
      </w:tblGrid>
      <w:tr>
        <w:trPr>
          <w:cantSplit/>
          <w:trHeight w:val="480" w:hRule="atLeast"/>
        </w:trPr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0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1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2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3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4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5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6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7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8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9</w:t>
            </w:r>
          </w:p>
        </w:tc>
        <w:tc>
          <w:tcPr>
            <w:tcW w:type="dxa" w:w="87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10</w:t>
            </w:r>
          </w:p>
        </w:tc>
      </w:tr>
    </w:tbl>
    <w:p>
      <w:pPr>
        <w:spacing w:after="0" w:before="0" w:line="12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B8 · Desafio dos 90 dias</w:t>
      </w:r>
    </w:p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B8.1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Se amanhã assumisse a Direcção-Geral e tivesse 90 dias para melhorar os resultados, quais seriam as suas três primeiras decisões?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B8.2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Dessas três decisões, qual pode começar a implementar hoje, na função que já ocupa?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20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B9 · Quadro do entrevistador (uso Midia Pro)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11169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011169"/>
                <w:spacing w:val="30"/>
                <w:sz w:val="17"/>
                <w:szCs w:val="17"/>
              </w:rPr>
              <w:t xml:space="preserve">Evidências vistas durante a entrevista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212"/>
              <w:gridCol w:w="3212"/>
              <w:gridCol w:w="3214"/>
            </w:tblGrid>
            <w:tr>
              <w:trPr>
                <w:cantSplit/>
              </w:trPr>
              <w:tc>
                <w:tcPr>
                  <w:tcW w:type="dxa" w:w="32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60"/>
                    <w:bottom w:type="dxa" w:w="25"/>
                    <w:right w:type="dxa" w:w="80"/>
                  </w:tcMar>
                  <w:vAlign w:val="top"/>
                </w:tcPr>
                <w:p>
                  <w:pPr>
                    <w:keepNext/>
                    <w:spacing w:after="0" w:before="0" w:line="264"/>
                    <w:ind w:left="300" w:hanging="300"/>
                  </w:pPr>
                  <w:r>
                    <w:rPr>
                      <w:rFonts w:ascii="Google Sans" w:cs="Google Sans" w:eastAsia="Google Sans" w:hAnsi="Google Sans"/>
                      <w:color w:val="011169"/>
                      <w:sz w:val="22"/>
                      <w:szCs w:val="22"/>
                    </w:rPr>
                    <w:t xml:space="preserve">□  </w:t>
                  </w:r>
                  <w:r>
                    <w:rPr>
                      <w:rFonts w:ascii="Google Sans" w:cs="Google Sans" w:eastAsia="Google Sans" w:hAnsi="Google Sans"/>
                      <w:color w:val="1A1F36"/>
                      <w:sz w:val="18"/>
                      <w:szCs w:val="18"/>
                    </w:rPr>
                    <w:t xml:space="preserve">Metas da equipa</w:t>
                  </w:r>
                </w:p>
              </w:tc>
              <w:tc>
                <w:tcPr>
                  <w:tcW w:type="dxa" w:w="32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60"/>
                    <w:bottom w:type="dxa" w:w="25"/>
                    <w:right w:type="dxa" w:w="80"/>
                  </w:tcMar>
                  <w:vAlign w:val="top"/>
                </w:tcPr>
                <w:p>
                  <w:pPr>
                    <w:keepNext/>
                    <w:spacing w:after="0" w:before="0" w:line="264"/>
                    <w:ind w:left="300" w:hanging="300"/>
                  </w:pPr>
                  <w:r>
                    <w:rPr>
                      <w:rFonts w:ascii="Google Sans" w:cs="Google Sans" w:eastAsia="Google Sans" w:hAnsi="Google Sans"/>
                      <w:color w:val="011169"/>
                      <w:sz w:val="22"/>
                      <w:szCs w:val="22"/>
                    </w:rPr>
                    <w:t xml:space="preserve">□  </w:t>
                  </w:r>
                  <w:r>
                    <w:rPr>
                      <w:rFonts w:ascii="Google Sans" w:cs="Google Sans" w:eastAsia="Google Sans" w:hAnsi="Google Sans"/>
                      <w:color w:val="1A1F36"/>
                      <w:sz w:val="18"/>
                      <w:szCs w:val="18"/>
                    </w:rPr>
                    <w:t xml:space="preserve">Relatório de resultados</w:t>
                  </w:r>
                </w:p>
              </w:tc>
              <w:tc>
                <w:tcPr>
                  <w:tcW w:type="dxa" w:w="321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60"/>
                    <w:bottom w:type="dxa" w:w="25"/>
                    <w:right w:type="dxa" w:w="80"/>
                  </w:tcMar>
                  <w:vAlign w:val="top"/>
                </w:tcPr>
                <w:p>
                  <w:pPr>
                    <w:keepNext/>
                    <w:spacing w:after="0" w:before="0" w:line="264"/>
                    <w:ind w:left="300" w:hanging="300"/>
                  </w:pPr>
                  <w:r>
                    <w:rPr>
                      <w:rFonts w:ascii="Google Sans" w:cs="Google Sans" w:eastAsia="Google Sans" w:hAnsi="Google Sans"/>
                      <w:color w:val="011169"/>
                      <w:sz w:val="22"/>
                      <w:szCs w:val="22"/>
                    </w:rPr>
                    <w:t xml:space="preserve">□  </w:t>
                  </w:r>
                  <w:r>
                    <w:rPr>
                      <w:rFonts w:ascii="Google Sans" w:cs="Google Sans" w:eastAsia="Google Sans" w:hAnsi="Google Sans"/>
                      <w:color w:val="1A1F36"/>
                      <w:sz w:val="18"/>
                      <w:szCs w:val="18"/>
                    </w:rPr>
                    <w:t xml:space="preserve">Mapa de follow-up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2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60"/>
                    <w:bottom w:type="dxa" w:w="25"/>
                    <w:right w:type="dxa" w:w="80"/>
                  </w:tcMar>
                  <w:vAlign w:val="top"/>
                </w:tcPr>
                <w:p>
                  <w:pPr>
                    <w:keepNext w:val="false"/>
                    <w:spacing w:after="0" w:before="0" w:line="264"/>
                    <w:ind w:left="300" w:hanging="300"/>
                  </w:pPr>
                  <w:r>
                    <w:rPr>
                      <w:rFonts w:ascii="Google Sans" w:cs="Google Sans" w:eastAsia="Google Sans" w:hAnsi="Google Sans"/>
                      <w:color w:val="011169"/>
                      <w:sz w:val="22"/>
                      <w:szCs w:val="22"/>
                    </w:rPr>
                    <w:t xml:space="preserve">□  </w:t>
                  </w:r>
                  <w:r>
                    <w:rPr>
                      <w:rFonts w:ascii="Google Sans" w:cs="Google Sans" w:eastAsia="Google Sans" w:hAnsi="Google Sans"/>
                      <w:color w:val="1A1F36"/>
                      <w:sz w:val="18"/>
                      <w:szCs w:val="18"/>
                    </w:rPr>
                    <w:t xml:space="preserve">CRM / Excel / WhatsApp</w:t>
                  </w:r>
                </w:p>
              </w:tc>
              <w:tc>
                <w:tcPr>
                  <w:tcW w:type="dxa" w:w="32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60"/>
                    <w:bottom w:type="dxa" w:w="25"/>
                    <w:right w:type="dxa" w:w="80"/>
                  </w:tcMar>
                  <w:vAlign w:val="top"/>
                </w:tcPr>
                <w:p>
                  <w:pPr>
                    <w:keepNext w:val="false"/>
                    <w:spacing w:after="0" w:before="0" w:line="264"/>
                    <w:ind w:left="300" w:hanging="300"/>
                  </w:pPr>
                  <w:r>
                    <w:rPr>
                      <w:rFonts w:ascii="Google Sans" w:cs="Google Sans" w:eastAsia="Google Sans" w:hAnsi="Google Sans"/>
                      <w:color w:val="011169"/>
                      <w:sz w:val="22"/>
                      <w:szCs w:val="22"/>
                    </w:rPr>
                    <w:t xml:space="preserve">□  </w:t>
                  </w:r>
                  <w:r>
                    <w:rPr>
                      <w:rFonts w:ascii="Google Sans" w:cs="Google Sans" w:eastAsia="Google Sans" w:hAnsi="Google Sans"/>
                      <w:color w:val="1A1F36"/>
                      <w:sz w:val="18"/>
                      <w:szCs w:val="18"/>
                    </w:rPr>
                    <w:t xml:space="preserve">Script de vendas</w:t>
                  </w:r>
                </w:p>
              </w:tc>
              <w:tc>
                <w:tcPr>
                  <w:tcW w:type="dxa" w:w="321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60"/>
                    <w:bottom w:type="dxa" w:w="25"/>
                    <w:right w:type="dxa" w:w="80"/>
                  </w:tcMar>
                  <w:vAlign w:val="top"/>
                </w:tcPr>
                <w:p>
                  <w:pPr>
                    <w:keepNext w:val="false"/>
                    <w:spacing w:after="0" w:before="0" w:line="264"/>
                    <w:ind w:left="300" w:hanging="300"/>
                  </w:pPr>
                  <w:r>
                    <w:rPr>
                      <w:rFonts w:ascii="Google Sans" w:cs="Google Sans" w:eastAsia="Google Sans" w:hAnsi="Google Sans"/>
                      <w:color w:val="011169"/>
                      <w:sz w:val="22"/>
                      <w:szCs w:val="22"/>
                    </w:rPr>
                    <w:t xml:space="preserve">□  </w:t>
                  </w:r>
                  <w:r>
                    <w:rPr>
                      <w:rFonts w:ascii="Google Sans" w:cs="Google Sans" w:eastAsia="Google Sans" w:hAnsi="Google Sans"/>
                      <w:color w:val="1A1F36"/>
                      <w:sz w:val="18"/>
                      <w:szCs w:val="18"/>
                    </w:rPr>
                    <w:t xml:space="preserve">Nenhuma evidência</w:t>
                  </w:r>
                </w:p>
              </w:tc>
            </w:tr>
          </w:tbl>
          <w:p>
            <w:pPr>
              <w:keepLines/>
              <w:spacing w:after="60" w:before="14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7"/>
                <w:szCs w:val="17"/>
              </w:rPr>
              <w:t xml:space="preserve">Discrepâncias entre percepção e prática:</w:t>
            </w:r>
          </w:p>
          <w:tbl>
            <w:tblPr>
              <w:tblW w:type="dxa" w:w="919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198"/>
            </w:tblGrid>
            <w:tr>
              <w:trPr>
                <w:cantSplit/>
                <w:trHeight w:val="720" w:hRule="atLeast"/>
              </w:trPr>
              <w:tc>
                <w:tcPr>
                  <w:tcW w:type="dxa" w:w="9198"/>
                  <w:tcBorders>
                    <w:top w:val="single" w:color="C9D0EA" w:sz="4"/>
                    <w:left w:val="single" w:color="C9D0EA" w:sz="4"/>
                    <w:bottom w:val="single" w:color="C9D0EA" w:sz="4"/>
                    <w:right w:val="single" w:color="C9D0EA" w:sz="4"/>
                  </w:tcBorders>
                  <w:shd w:fill="F7F8FD" w:color="auto" w:val="clear"/>
                  <w:tcMar>
                    <w:top w:type="dxa" w:w="90"/>
                    <w:left w:type="dxa" w:w="140"/>
                    <w:bottom w:type="dxa" w:w="90"/>
                    <w:right w:type="dxa" w:w="140"/>
                  </w:tcMar>
                  <w:vAlign w:val="top"/>
                </w:tcPr>
                <w:p>
                  <w:pPr>
                    <w:keepLines/>
                    <w:spacing w:after="0" w:before="0" w:line="276" w:lineRule="auto"/>
                  </w:pPr>
                </w:p>
              </w:tc>
            </w:tr>
          </w:tbl>
          <w:p/>
        </w:tc>
      </w:tr>
    </w:tbl>
    <w:p>
      <w:pPr>
        <w:keepNext/>
        <w:pageBreakBefore/>
        <w:spacing w:after="60"/>
      </w:pPr>
      <w:r>
        <w:rPr>
          <w:rFonts w:ascii="Google Sans" w:cs="Google Sans" w:eastAsia="Google Sans" w:hAnsi="Google Sans"/>
          <w:b/>
          <w:bCs/>
          <w:caps/>
          <w:color w:val="2E5BE6"/>
          <w:spacing w:val="40"/>
          <w:sz w:val="18"/>
          <w:szCs w:val="18"/>
        </w:rPr>
        <w:t xml:space="preserve">Parte C · Uso interno Midia Pro</w:t>
      </w:r>
    </w:p>
    <w:p>
      <w:pPr>
        <w:pStyle w:val="Heading1"/>
        <w:keepNext/>
        <w:pBdr>
          <w:bottom w:val="single" w:color="011169" w:sz="12" w:space="6"/>
        </w:pBdr>
      </w:pPr>
      <w:r>
        <w:rPr>
          <w:rFonts w:ascii="Google Sans" w:cs="Google Sans" w:eastAsia="Google Sans" w:hAnsi="Google Sans"/>
        </w:rPr>
        <w:t xml:space="preserve">Parte C · Consolidação</w:t>
      </w:r>
    </w:p>
    <w:p>
      <w:pPr>
        <w:keepLines/>
        <w:spacing w:after="200" w:before="0" w:line="276" w:lineRule="auto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Depois de recebido o briefing e concluídas as entrevistas, o responsável de planeamento estratégico consolida a informação e redige o </w:t>
      </w: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Plano Estratégico no prazo de 48 horas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C1 · Matriz de análise da liderança</w:t>
      </w:r>
    </w:p>
    <w:p>
      <w:pPr>
        <w:keepLines/>
        <w:spacing w:after="120" w:before="0" w:line="276" w:lineRule="auto"/>
      </w:pPr>
      <w:r>
        <w:rPr>
          <w:rFonts w:ascii="Google Sans" w:cs="Google Sans" w:eastAsia="Google Sans" w:hAnsi="Google Sans"/>
          <w:color w:val="5B6384"/>
          <w:sz w:val="18"/>
          <w:szCs w:val="18"/>
        </w:rPr>
        <w:t xml:space="preserve">Os resultados são consolidados por dimensão, sem avaliações pessoais nem exposição individual das respostas.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900"/>
        <w:gridCol w:w="3138"/>
        <w:gridCol w:w="1500"/>
        <w:gridCol w:w="1400"/>
      </w:tblGrid>
      <w:tr>
        <w:trPr>
          <w:cantSplit/>
          <w:tblHeader/>
        </w:trPr>
        <w:tc>
          <w:tcPr>
            <w:tcW w:type="dxa" w:w="2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Dimensão</w:t>
            </w:r>
          </w:p>
        </w:tc>
        <w:tc>
          <w:tcPr>
            <w:tcW w:type="dxa" w:w="9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Peso</w:t>
            </w:r>
          </w:p>
        </w:tc>
        <w:tc>
          <w:tcPr>
            <w:tcW w:type="dxa" w:w="31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Critério</w:t>
            </w:r>
          </w:p>
        </w:tc>
        <w:tc>
          <w:tcPr>
            <w:tcW w:type="dxa" w:w="15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Fonte</w:t>
            </w:r>
          </w:p>
        </w:tc>
        <w:tc>
          <w:tcPr>
            <w:tcW w:type="dxa" w:w="14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Classificação</w:t>
            </w:r>
          </w:p>
        </w:tc>
      </w:tr>
      <w:tr>
        <w:trPr>
          <w:cantSplit/>
          <w:trHeight w:val="520" w:hRule="atLeast"/>
        </w:trPr>
        <w:tc>
          <w:tcPr>
            <w:tcW w:type="dxa" w:w="2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Liderança e responsabilização</w:t>
            </w:r>
          </w:p>
        </w:tc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25%</w:t>
            </w:r>
          </w:p>
        </w:tc>
        <w:tc>
          <w:tcPr>
            <w:tcW w:type="dxa" w:w="31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Clareza, acompanhamento, feedback e accountability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B2 · B6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520" w:hRule="atLeast"/>
        </w:trPr>
        <w:tc>
          <w:tcPr>
            <w:tcW w:type="dxa" w:w="2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Comunicação interna e alinhamento</w:t>
            </w:r>
          </w:p>
        </w:tc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20%</w:t>
            </w:r>
          </w:p>
        </w:tc>
        <w:tc>
          <w:tcPr>
            <w:tcW w:type="dxa" w:w="31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Consistência entre Direcção, áreas e lojas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B3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520" w:hRule="atLeast"/>
        </w:trPr>
        <w:tc>
          <w:tcPr>
            <w:tcW w:type="dxa" w:w="2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Gestão por métricas</w:t>
            </w:r>
          </w:p>
        </w:tc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20%</w:t>
            </w:r>
          </w:p>
        </w:tc>
        <w:tc>
          <w:tcPr>
            <w:tcW w:type="dxa" w:w="31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Disponibilidade e utilização de indicadores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B4 · A04 · A08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520" w:hRule="atLeast"/>
        </w:trPr>
        <w:tc>
          <w:tcPr>
            <w:tcW w:type="dxa" w:w="2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Gestão comercial e follow-up</w:t>
            </w:r>
          </w:p>
        </w:tc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20%</w:t>
            </w:r>
          </w:p>
        </w:tc>
        <w:tc>
          <w:tcPr>
            <w:tcW w:type="dxa" w:w="31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Processo, registo, controlo e continuidade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B5 · A08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520" w:hRule="atLeast"/>
        </w:trPr>
        <w:tc>
          <w:tcPr>
            <w:tcW w:type="dxa" w:w="2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Cultura e abertura à mudança</w:t>
            </w:r>
          </w:p>
        </w:tc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15%</w:t>
            </w:r>
          </w:p>
        </w:tc>
        <w:tc>
          <w:tcPr>
            <w:tcW w:type="dxa" w:w="31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Aprendizagem, colaboração e implementação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B6 · B7 · B8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7838"/>
      </w:tblGrid>
      <w:tr>
        <w:trPr>
          <w:cantSplit/>
        </w:trPr>
        <w:tc>
          <w:tcPr>
            <w:tcW w:type="dxa" w:w="1800"/>
            <w:tcBorders>
              <w:top w:val="single" w:color="1E9E5A" w:sz="4"/>
              <w:left w:val="single" w:color="1E9E5A" w:sz="4"/>
              <w:bottom w:val="single" w:color="1E9E5A" w:sz="4"/>
              <w:right w:val="single" w:color="1E9E5A" w:sz="4"/>
            </w:tcBorders>
            <w:shd w:fill="1E9E5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VERDE</w:t>
            </w:r>
          </w:p>
        </w:tc>
        <w:tc>
          <w:tcPr>
            <w:tcW w:type="dxa" w:w="7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Prática consolidada: confirmada por processo, registo ou métrica.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A008" w:sz="4"/>
              <w:left w:val="single" w:color="E3A008" w:sz="4"/>
              <w:bottom w:val="single" w:color="E3A008" w:sz="4"/>
              <w:right w:val="single" w:color="E3A008" w:sz="4"/>
            </w:tcBorders>
            <w:shd w:fill="E3A00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AMARELO</w:t>
            </w:r>
          </w:p>
        </w:tc>
        <w:tc>
          <w:tcPr>
            <w:tcW w:type="dxa" w:w="7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Necessita de melhoria: existe, mas sem consistência entre lojas ou sem evidência completa.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63A3A" w:sz="4"/>
              <w:left w:val="single" w:color="D63A3A" w:sz="4"/>
              <w:bottom w:val="single" w:color="D63A3A" w:sz="4"/>
              <w:right w:val="single" w:color="D63A3A" w:sz="4"/>
            </w:tcBorders>
            <w:shd w:fill="D63A3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VERMELHO</w:t>
            </w:r>
          </w:p>
        </w:tc>
        <w:tc>
          <w:tcPr>
            <w:tcW w:type="dxa" w:w="7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Gap crítico: não existe, ou a percepção declarada não corresponde à prática observada.</w:t>
            </w: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3A008" w:sz="36"/>
              <w:bottom w:val="none" w:color="FFFFFF" w:sz="0"/>
              <w:right w:val="none" w:color="FFFFFF" w:sz="0"/>
            </w:tcBorders>
            <w:shd w:fill="FFF7E6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E3A008"/>
                <w:spacing w:val="30"/>
                <w:sz w:val="17"/>
                <w:szCs w:val="17"/>
              </w:rPr>
              <w:t xml:space="preserve">Nota metodológica</w:t>
            </w:r>
          </w:p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pontuação declarada deve ser sempre cruzada com evidências. Uma avaliação elevada sem processo, registo, métrica ou evidência correspondente deverá ser assinalada como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discrepância entre percepção e prática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.</w:t>
            </w: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C2 · Hipóteses preliminares a validar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38"/>
        <w:gridCol w:w="1400"/>
        <w:gridCol w:w="1400"/>
        <w:gridCol w:w="1400"/>
      </w:tblGrid>
      <w:tr>
        <w:trPr>
          <w:cantSplit/>
          <w:tblHeader/>
        </w:trPr>
        <w:tc>
          <w:tcPr>
            <w:tcW w:type="dxa" w:w="54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Hipótese</w:t>
            </w:r>
          </w:p>
        </w:tc>
        <w:tc>
          <w:tcPr>
            <w:tcW w:type="dxa" w:w="14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14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Parcial</w:t>
            </w:r>
          </w:p>
        </w:tc>
        <w:tc>
          <w:tcPr>
            <w:tcW w:type="dxa" w:w="14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Não confirmada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Existem diferentes padrões de comunicação entre as três lojas.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Clareza insuficiente sobre responsabilidades de follow-up.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Disponibilidade e utilização efectiva de métricas comerciais e de atendimento.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Integração entre o fluxo digital, as equipas comerciais e as lojas.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Nível de alinhamento e abertura das lideranças intermédias às mudanças propostas.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Distribuição de responsabilidades entre liderança e equipas perante a redução dos resultados.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C3 · Checklist de evidências recebidas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0"/>
        <w:gridCol w:w="1500"/>
        <w:gridCol w:w="1100"/>
        <w:gridCol w:w="3038"/>
      </w:tblGrid>
      <w:tr>
        <w:trPr>
          <w:cantSplit/>
          <w:tblHeader/>
        </w:trPr>
        <w:tc>
          <w:tcPr>
            <w:tcW w:type="dxa" w:w="40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Evidência</w:t>
            </w:r>
          </w:p>
        </w:tc>
        <w:tc>
          <w:tcPr>
            <w:tcW w:type="dxa" w:w="15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11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Recebida</w:t>
            </w:r>
          </w:p>
        </w:tc>
        <w:tc>
          <w:tcPr>
            <w:tcW w:type="dxa" w:w="30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Organigrama e lista de lojas/colaboradores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A01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 de vendas 12 meses por loja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A01 · A05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Estatísticas das redes sociais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A02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Manual de marca / logótipo em alta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A03 · A10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Mapa de metas do ano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A04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Top 20 produtos e tabela de preços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A05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Pasta de conteúdos existentes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A06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 de anúncios (6 meses)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A07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Metas e resultados do último mês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A08 · B4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Mapa / registo de follow-up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A08 · B5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Script de vendas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A08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Lista de sistemas e ferramentas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A09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C4 · Do briefing à estratégia: quem usa o quê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900"/>
        <w:gridCol w:w="2300"/>
        <w:gridCol w:w="4438"/>
      </w:tblGrid>
      <w:tr>
        <w:trPr>
          <w:cantSplit/>
          <w:tblHeader/>
        </w:trPr>
        <w:tc>
          <w:tcPr>
            <w:tcW w:type="dxa" w:w="29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Equipa Midia Pro</w:t>
            </w:r>
          </w:p>
        </w:tc>
        <w:tc>
          <w:tcPr>
            <w:tcW w:type="dxa" w:w="23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Etapas de referência</w:t>
            </w:r>
          </w:p>
        </w:tc>
        <w:tc>
          <w:tcPr>
            <w:tcW w:type="dxa" w:w="44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Entregável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Planeamento Estratégico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Todas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Estratégico consolidado (48 h)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Copywriting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A02 · A03 · A05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Mensagens-chave, textos e argumentos de venda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Design Gráfico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A03 · A06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Linha visual e peças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Videomaking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A03 · A06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Guiões e plano de gravações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Social Media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A02 · A03 · A06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editorial e calendário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Tráfego Pago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A02 · A04 · A07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de media, públicos e orçamento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Inside Sales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A08 · B4 · B5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Processo comercial, follow-up e argumentário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Desenvolvimento Tecnológico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A09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técnico, automações e integrações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Formação e Liderança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Parte B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Workshop/palestra e formação de Atendimento, Vendas e Relacionamento</w:t>
            </w: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C5 · Entregáveis do diagnóstico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Aplicação do instrumento de diagnóstico às lideranças definidas pela Midia Pro e pelo cliente.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Mapa consolidado das cinco dimensões avaliadas.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Identificação dos principais gaps e riscos organizacionais e comerciais.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Mapeamento preliminar do fluxo de comunicação e follow-up.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Recomendações de prioridades de intervenção.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Base técnica para o workshop/palestra e a formação de Atendimento, Vendas e Relacionamento com o Cliente.</w:t>
      </w:r>
    </w:p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Princípios de apresentação dos resultados</w:t>
            </w:r>
          </w:p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Os resultados são apresentados de forma consolidada, factual e orientada para soluções. O diagnóstico não tem como finalidade procurar culpados, mas identificar os pontos do sistema, liderança, processos, comunicação, competências e acompanhamento que necessitam de intervenção para melhorar a experiência do cliente e apoiar a recuperação dos resultados.</w:t>
            </w:r>
          </w:p>
        </w:tc>
      </w:tr>
    </w:tbl>
    <w:p>
      <w:pPr>
        <w:spacing w:after="0" w:before="0" w:line="24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C6 · Validação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200"/>
              <w:left w:type="dxa" w:w="240"/>
              <w:bottom w:type="dxa" w:w="120"/>
              <w:right w:type="dxa" w:w="200"/>
            </w:tcMar>
            <w:vAlign w:val="top"/>
          </w:tcPr>
          <w:p>
            <w:pPr>
              <w:keepLines/>
              <w:spacing w:after="16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Pelo cliente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Nome: ______________________________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Cargo: ______________________________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Assinatura: ______________________________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Data: ______________________________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200"/>
              <w:left w:type="dxa" w:w="240"/>
              <w:bottom w:type="dxa" w:w="120"/>
              <w:right w:type="dxa" w:w="200"/>
            </w:tcMar>
            <w:vAlign w:val="top"/>
          </w:tcPr>
          <w:p>
            <w:pPr>
              <w:keepLines/>
              <w:spacing w:after="16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Pela Midia Pro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Nome: ______________________________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Cargo: ______________________________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Assinatura: ______________________________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Data: ______________________________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50" w:right="1134" w:bottom="1000" w:left="1134" w:header="450" w:footer="400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oogle Sans">
    <w:charset w:val="00"/>
    <w:family w:val="auto"/>
    <w:pitch w:val="variable"/>
    <w:sig w:usb0="E0002AFF" w:usb1="C000247B" w:usb2="00000009" w:usb3="00000000" w:csb0="000001FF" w:csb1="00000000"/>
    <w:embedRegular r:id="rId1" w:fontKey="{833C5F63-82F3-E4FE-7052-A5A186E8317E}"/>
    <w:embedBold r:id="rIdBold" w:fontKey="{9E423BDD-69B1-4B0A-B5D0-82803532745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0EA" w:sz="4" w:space="6"/>
      </w:pBdr>
    </w:pPr>
    <w:r>
      <w:rPr>
        <w:rFonts w:ascii="Google Sans" w:cs="Google Sans" w:eastAsia="Google Sans" w:hAnsi="Google Sans"/>
        <w:b/>
        <w:bCs/>
        <w:color w:val="011169"/>
        <w:sz w:val="14"/>
        <w:szCs w:val="14"/>
      </w:rPr>
      <w:t xml:space="preserve">Midia Pro · Comunicação e Imagem</w:t>
    </w:r>
    <w:r>
      <w:rPr>
        <w:rFonts w:ascii="Google Sans" w:cs="Google Sans" w:eastAsia="Google Sans" w:hAnsi="Google Sans"/>
        <w:color w:val="5B6384"/>
        <w:sz w:val="14"/>
        <w:szCs w:val="14"/>
      </w:rPr>
      <w:t xml:space="preserve">   Av. Vladimir Lenine nº 1895, R/C, Maputo · +258 85 589 0000 · info@midiapro.co.mz</w:t>
    </w:r>
    <w:r>
      <w:ptab w:alignment="right" w:relativeTo="margin" w:leader="none"/>
    </w:r>
    <w:r>
      <w:rPr>
        <w:rFonts w:ascii="Google Sans" w:cs="Google Sans" w:eastAsia="Google Sans" w:hAnsi="Google Sans"/>
        <w:b/>
        <w:bCs/>
        <w:color w:val="01116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0EA" w:sz="4" w:space="6"/>
      </w:pBdr>
      <w:spacing w:after="0"/>
    </w:pPr>
    <w:r>
      <w:drawing>
        <wp:inline distT="0" distB="0" distL="0" distR="0">
          <wp:extent cx="59055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alignment="right" w:relativeTo="margin" w:leader="none"/>
    </w:r>
    <w:r>
      <w:rPr>
        <w:rFonts w:ascii="Google Sans" w:cs="Google Sans" w:eastAsia="Google Sans" w:hAnsi="Google Sans"/>
        <w:b/>
        <w:bCs/>
        <w:color w:val="011169"/>
        <w:sz w:val="16"/>
        <w:szCs w:val="16"/>
      </w:rPr>
      <w:t xml:space="preserve">Diagnóstico 360° Pro</w:t>
    </w:r>
    <w:r>
      <w:rPr>
        <w:rFonts w:ascii="Google Sans" w:cs="Google Sans" w:eastAsia="Google Sans" w:hAnsi="Google Sans"/>
        <w:color w:val="5B6384"/>
        <w:sz w:val="16"/>
        <w:szCs w:val="16"/>
      </w:rPr>
      <w:t xml:space="preserve">  ·  Home Center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rFonts w:ascii="Google Sans" w:cs="Google Sans" w:eastAsia="Google Sans" w:hAnsi="Google Sans"/>
        <w:color w:val="2E5BE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Google Sans" w:cs="Google Sans" w:eastAsia="Google Sans" w:hAnsi="Google Sans"/>
        <w:b/>
        <w:bCs/>
        <w:color w:val="2E5BE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saveSubset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oogle Sans" w:cs="Google Sans" w:eastAsia="Google Sans" w:hAnsi="Google Sans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oogle Sans" w:cs="Google Sans" w:eastAsia="Google Sans" w:hAnsi="Google Sans"/>
      <w:b/>
      <w:bCs/>
      <w:color w:val="011169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Google Sans" w:cs="Google Sans" w:eastAsia="Google Sans" w:hAnsi="Google Sans"/>
      <w:b/>
      <w:bCs/>
      <w:color w:val="01116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Google Sans" w:cs="Google Sans" w:eastAsia="Google Sans" w:hAnsi="Google Sans"/>
      <w:b/>
      <w:bCs/>
      <w:color w:val="2E5BE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455daa01c30fa1978838d1d6b5f80674d9c64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2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63ec76e97ffb7871e933be90adab047f6beec5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Diagnóstico 360° Pro · Briefing Estratégico &amp; Diagnóstico de Liderança</dc:title>
  <dc:creator>Midia Pro</dc:creator>
  <dc:description>Modelo de recolha de briefing e diagnóstico de liderança · Midia Pro</dc:description>
  <cp:lastModifiedBy>Un-named</cp:lastModifiedBy>
  <cp:revision>1</cp:revision>
  <dcterms:created xsi:type="dcterms:W3CDTF">2026-10-09T14:11:59.673Z</dcterms:created>
  <dcterms:modified xsi:type="dcterms:W3CDTF">2026-10-09T14:11:59.673Z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