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anchor distT="0" distB="0" distL="0" distR="0" simplePos="0" allowOverlap="1" behindDoc="1" locked="1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80975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0" w:lineRule="exact"/>
      </w:pPr>
    </w:p>
    <w:p>
      <w:pPr>
        <w:keepLines/>
        <w:spacing w:after="160" w:before="0" w:line="276" w:lineRule="auto"/>
      </w:pPr>
      <w:r>
        <w:rPr>
          <w:rFonts w:ascii="Google Sans" w:cs="Google Sans" w:eastAsia="Google Sans" w:hAnsi="Google Sans"/>
          <w:b/>
          <w:bCs/>
          <w:caps/>
          <w:color w:val="9DB2FF"/>
          <w:spacing w:val="40"/>
          <w:sz w:val="20"/>
          <w:szCs w:val="20"/>
        </w:rPr>
        <w:t xml:space="preserve">Briefing Estratégico &amp; Diagnóstico de Liderança</w:t>
      </w:r>
    </w:p>
    <w:p>
      <w:pPr>
        <w:keepLines/>
        <w:spacing w:after="0" w:before="0" w:line="240" w:lineRule="auto"/>
      </w:pPr>
      <w:r>
        <w:rPr>
          <w:rFonts w:ascii="Google Sans" w:cs="Google Sans" w:eastAsia="Google Sans" w:hAnsi="Google Sans"/>
          <w:b/>
          <w:bCs/>
          <w:color w:val="FFFFFF"/>
          <w:sz w:val="84"/>
          <w:szCs w:val="84"/>
        </w:rPr>
        <w:t xml:space="preserve">Diagnóstico</w:t>
      </w:r>
    </w:p>
    <w:p>
      <w:pPr>
        <w:keepLines/>
        <w:spacing w:after="240" w:before="0" w:line="240" w:lineRule="auto"/>
      </w:pPr>
      <w:r>
        <w:rPr>
          <w:rFonts w:ascii="Google Sans" w:cs="Google Sans" w:eastAsia="Google Sans" w:hAnsi="Google Sans"/>
          <w:b/>
          <w:bCs/>
          <w:color w:val="FFFFFF"/>
          <w:sz w:val="84"/>
          <w:szCs w:val="84"/>
        </w:rPr>
        <w:t xml:space="preserve">360° Pro</w:t>
      </w:r>
    </w:p>
    <w:p>
      <w:pPr>
        <w:keepLines/>
        <w:spacing w:after="480" w:before="0" w:line="320" w:lineRule="auto"/>
      </w:pPr>
      <w:r>
        <w:rPr>
          <w:rFonts w:ascii="Google Sans" w:cs="Google Sans" w:eastAsia="Google Sans" w:hAnsi="Google Sans"/>
          <w:color w:val="D7DEFF"/>
          <w:sz w:val="24"/>
          <w:szCs w:val="24"/>
        </w:rPr>
        <w:t xml:space="preserve">Guia e formulário de recolha da informação fundamental para a construção da estratégia completa da empresa cliente.</w:t>
      </w:r>
    </w:p>
    <w:tbl>
      <w:tblPr>
        <w:tblW w:type="dxa" w:w="9306"/>
        <w:tblInd w:type="dxa" w:w="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606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A3A8F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9DB2FF"/>
                <w:spacing w:val="30"/>
                <w:sz w:val="16"/>
                <w:szCs w:val="16"/>
              </w:rPr>
              <w:t xml:space="preserve">Cliente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single" w:color="2A3A8F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FFFFFF"/>
                <w:sz w:val="20"/>
                <w:szCs w:val="20"/>
              </w:rPr>
              <w:t xml:space="preserve">Home Center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A3A8F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9DB2FF"/>
                <w:spacing w:val="30"/>
                <w:sz w:val="16"/>
                <w:szCs w:val="16"/>
              </w:rPr>
              <w:t xml:space="preserve">Áreas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single" w:color="2A3A8F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FFFFFF"/>
                <w:sz w:val="20"/>
                <w:szCs w:val="20"/>
              </w:rPr>
              <w:t xml:space="preserve">Direcção-Geral · Marketing · Comercial · Lojas · Tecnologia · RH &amp; Liderança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A3A8F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9DB2FF"/>
                <w:spacing w:val="30"/>
                <w:sz w:val="16"/>
                <w:szCs w:val="16"/>
              </w:rPr>
              <w:t xml:space="preserve">Data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single" w:color="2A3A8F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FFFFFF"/>
                <w:sz w:val="20"/>
                <w:szCs w:val="20"/>
              </w:rPr>
              <w:t xml:space="preserve">Outubro de 2026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A3A8F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9DB2FF"/>
                <w:spacing w:val="30"/>
                <w:sz w:val="16"/>
                <w:szCs w:val="16"/>
              </w:rPr>
              <w:t xml:space="preserve">Versão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single" w:color="2A3A8F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FFFFFF"/>
                <w:sz w:val="20"/>
                <w:szCs w:val="20"/>
              </w:rPr>
              <w:t xml:space="preserve">1.0 · Confidencial</w:t>
            </w:r>
          </w:p>
        </w:tc>
      </w:tr>
    </w:tbl>
    <w:p>
      <w:pPr>
        <w:spacing w:after="0" w:before="0" w:line="2600" w:lineRule="exact"/>
      </w:pPr>
    </w:p>
    <w:p>
      <w:pPr>
        <w:keepLines/>
        <w:spacing w:after="60" w:before="0" w:line="276" w:lineRule="auto"/>
      </w:pPr>
      <w:r>
        <w:rPr>
          <w:rFonts w:ascii="Google Sans" w:cs="Google Sans" w:eastAsia="Google Sans" w:hAnsi="Google Sans"/>
          <w:color w:val="FFFFFF"/>
          <w:sz w:val="18"/>
          <w:szCs w:val="18"/>
        </w:rPr>
        <w:t xml:space="preserve">Produzido por </w:t>
      </w:r>
      <w:r>
        <w:rPr>
          <w:rFonts w:ascii="Google Sans" w:cs="Google Sans" w:eastAsia="Google Sans" w:hAnsi="Google Sans"/>
          <w:b/>
          <w:bCs/>
          <w:color w:val="FFFFFF"/>
          <w:sz w:val="18"/>
          <w:szCs w:val="18"/>
        </w:rPr>
        <w:t xml:space="preserve">Midia Pro · Comunicação e Imagem</w:t>
      </w:r>
    </w:p>
    <w:p>
      <w:pPr>
        <w:keepLines/>
        <w:spacing w:after="30" w:before="0" w:line="276" w:lineRule="auto"/>
      </w:pPr>
      <w:r>
        <w:rPr>
          <w:rFonts w:ascii="Google Sans" w:cs="Google Sans" w:eastAsia="Google Sans" w:hAnsi="Google Sans"/>
          <w:color w:val="B9C4F5"/>
          <w:sz w:val="17"/>
          <w:szCs w:val="17"/>
        </w:rPr>
        <w:t xml:space="preserve">Av. Vladimir Lenine nº 1895, R/C · Maputo, Moçambique</w:t>
      </w:r>
    </w:p>
    <w:p>
      <w:pPr>
        <w:keepLines/>
        <w:spacing w:after="0" w:before="0" w:line="276" w:lineRule="auto"/>
      </w:pPr>
      <w:r>
        <w:rPr>
          <w:rFonts w:ascii="Google Sans" w:cs="Google Sans" w:eastAsia="Google Sans" w:hAnsi="Google Sans"/>
          <w:color w:val="B9C4F5"/>
          <w:sz w:val="17"/>
          <w:szCs w:val="17"/>
        </w:rPr>
        <w:t xml:space="preserve">+258 85 589 0000 · info@midiapro.co.mz</w:t>
      </w:r>
    </w:p>
    <w:p>
      <w:pPr>
        <w:sectPr>
          <w:pgSz w:w="11906" w:h="16838" w:orient="portrait"/>
          <w:pgMar w:top="1300" w:right="1300" w:bottom="900" w:left="1300" w:header="0" w:footer="0" w:gutter="0"/>
          <w:pgNumType/>
          <w:docGrid w:linePitch="360"/>
        </w:sectPr>
      </w:pPr>
    </w:p>
    <w:p>
      <w:pPr>
        <w:keepLines/>
        <w:spacing w:after="60" w:before="0" w:line="276" w:lineRule="auto"/>
      </w:pPr>
      <w:r>
        <w:rPr>
          <w:rFonts w:ascii="Google Sans" w:cs="Google Sans" w:eastAsia="Google Sans" w:hAnsi="Google Sans"/>
          <w:b/>
          <w:bCs/>
          <w:caps/>
          <w:color w:val="2E5BE6"/>
          <w:spacing w:val="40"/>
          <w:sz w:val="18"/>
          <w:szCs w:val="18"/>
        </w:rPr>
        <w:t xml:space="preserve">Antes de começar</w:t>
      </w:r>
    </w:p>
    <w:p>
      <w:pPr>
        <w:pStyle w:val="Heading1"/>
        <w:pBdr>
          <w:bottom w:val="single" w:color="011169" w:sz="12" w:space="6"/>
        </w:pBdr>
      </w:pPr>
      <w:r>
        <w:rPr>
          <w:rFonts w:ascii="Google Sans" w:cs="Google Sans" w:eastAsia="Google Sans" w:hAnsi="Google Sans"/>
        </w:rPr>
        <w:t xml:space="preserve">Ficha do documento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6038"/>
      </w:tblGrid>
      <w:tr>
        <w:trPr>
          <w:cantSplit/>
          <w:trHeight w:val="400" w:hRule="atLeast"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Cliente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Home Center</w:t>
            </w: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Código do cliente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Data de preenchimento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Ponto focal do cliente (nome e cargo)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Responsável pelo briefing (Midia Pro)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Especialista em liderança e cultura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Mirza Jamal (especialista subcontratada pela Midia Pro)</w:t>
            </w: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Data limite de devolução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Confidencial · uso exclusivo Midia Pro e cliente</w:t>
            </w:r>
          </w:p>
        </w:tc>
      </w:tr>
    </w:tbl>
    <w:p>
      <w:pPr>
        <w:spacing w:after="0" w:before="0" w:line="30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Mapa do diagnóstico</w:t>
      </w:r>
    </w:p>
    <w:p>
      <w:pPr>
        <w:keepNext/>
        <w:keepLines/>
        <w:spacing w:after="120" w:before="0" w:line="276" w:lineRule="auto"/>
      </w:pPr>
      <w:r>
        <w:rPr>
          <w:rFonts w:ascii="Google Sans" w:cs="Google Sans" w:eastAsia="Google Sans" w:hAnsi="Google Sans"/>
          <w:color w:val="5B6384"/>
          <w:sz w:val="18"/>
          <w:szCs w:val="18"/>
        </w:rPr>
        <w:t xml:space="preserve">Cada etapa corresponde a uma área da empresa e pode ser preenchida em paralelo pelo respectivo responsável.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2100"/>
        <w:gridCol w:w="3038"/>
        <w:gridCol w:w="1200"/>
      </w:tblGrid>
      <w:tr>
        <w:trPr>
          <w:cantSplit/>
          <w:tblHeader/>
        </w:trPr>
        <w:tc>
          <w:tcPr>
            <w:tcW w:type="dxa" w:w="33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1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Área / Departamento</w:t>
            </w:r>
          </w:p>
        </w:tc>
        <w:tc>
          <w:tcPr>
            <w:tcW w:type="dxa" w:w="30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Quem preenche</w:t>
            </w:r>
          </w:p>
        </w:tc>
        <w:tc>
          <w:tcPr>
            <w:tcW w:type="dxa" w:w="12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A01  Identificação &amp; Visão do Negócio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Direcção-Geral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Director-Geral, com Financeiro e RH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A02  Público-Alvo &amp; Cliente Ideal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Marketing · Comercial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Marketing + gerente de loja + vendedor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A03  Posicionamento &amp; Marca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Marketing · Direcção-Geral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Direcção-Geral + Marketing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A04  Objectivos &amp; Metas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Direcção-Geral · Marketing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Director-Geral + Marketing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A05  Oferta, Produtos &amp; Pontos de Venda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Comercial · Compras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Comercial + Compras + Financeiro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A06  Comunicação &amp; Conteúdo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Marketing · Social Media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Marketing / Social Media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A07  Tráfego Pago &amp; Funil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Marketing · Financeiro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Marketing + Financeiro (orçamento)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A08  Processo Comercial &amp; Vendas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Comercial · Lojas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Direcção Comercial + Gerentes das lojas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A09  Tecnologia &amp; Sistemas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TI · Marketing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TI / sistemas + Marketing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A10  Aprovações, Contexto &amp; Materiais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Direcção-Geral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Director-Geral (ponto focal)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B  Diagnóstico de Liderança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RH · Liderança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Cada líder, em entrevista individual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45–60 min por líder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  Consolidação</w:t>
            </w:r>
          </w:p>
        </w:tc>
        <w:tc>
          <w:tcPr>
            <w:tcW w:type="dxa" w:w="2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Uso interno Midia Pro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Responsável de planeamento</w:t>
            </w:r>
          </w:p>
        </w:tc>
        <w:tc>
          <w:tcPr>
            <w:tcW w:type="dxa" w:w="12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48 h</w:t>
            </w:r>
          </w:p>
        </w:tc>
      </w:tr>
    </w:tbl>
    <w:p>
      <w:pPr>
        <w:keepNext/>
        <w:pageBreakBefore/>
        <w:spacing w:after="60"/>
      </w:pPr>
      <w:r>
        <w:rPr>
          <w:rFonts w:ascii="Google Sans" w:cs="Google Sans" w:eastAsia="Google Sans" w:hAnsi="Google Sans"/>
          <w:b/>
          <w:bCs/>
          <w:caps/>
          <w:color w:val="2E5BE6"/>
          <w:spacing w:val="40"/>
          <w:sz w:val="18"/>
          <w:szCs w:val="18"/>
        </w:rPr>
        <w:t xml:space="preserve">Comece por aqui</w:t>
      </w:r>
    </w:p>
    <w:p>
      <w:pPr>
        <w:pStyle w:val="Heading1"/>
        <w:keepNext/>
        <w:pBdr>
          <w:bottom w:val="single" w:color="011169" w:sz="12" w:space="6"/>
        </w:pBdr>
      </w:pPr>
      <w:r>
        <w:rPr>
          <w:rFonts w:ascii="Google Sans" w:cs="Google Sans" w:eastAsia="Google Sans" w:hAnsi="Google Sans"/>
        </w:rPr>
        <w:t xml:space="preserve">Guia de preenchimento</w:t>
      </w:r>
    </w:p>
    <w:p>
      <w:pPr>
        <w:keepLines/>
        <w:spacing w:after="200" w:before="0" w:line="276" w:lineRule="auto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Este documento reúne, num só instrumento, o </w:t>
      </w: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Briefing de Cliente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e o </w:t>
      </w: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Modelo de Diagnóstico de Liderança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da Midia Pro. Pede apenas a informação </w:t>
      </w: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fundamental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para construirmos uma estratégia completa: posicionamento, comunicação, conteúdo, tráfego pago, vendas, tecnologia e liderança.</w:t>
      </w: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1. Como o documento está organizado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4538"/>
        <w:gridCol w:w="2500"/>
      </w:tblGrid>
      <w:tr>
        <w:trPr>
          <w:cantSplit/>
          <w:tblHeader/>
        </w:trPr>
        <w:tc>
          <w:tcPr>
            <w:tcW w:type="dxa" w:w="26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Parte</w:t>
            </w:r>
          </w:p>
        </w:tc>
        <w:tc>
          <w:tcPr>
            <w:tcW w:type="dxa" w:w="45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  <w:tc>
          <w:tcPr>
            <w:tcW w:type="dxa" w:w="25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 · Briefing Estratégico</w:t>
            </w:r>
          </w:p>
        </w:tc>
        <w:tc>
          <w:tcPr>
            <w:tcW w:type="dxa" w:w="45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10 etapas, uma por área da empresa, com as perguntas que alimentam a estratégia.</w:t>
            </w:r>
          </w:p>
        </w:tc>
        <w:tc>
          <w:tcPr>
            <w:tcW w:type="dxa" w:w="2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Formulário preenchido pelos departamentos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B · Diagnóstico de Liderança</w:t>
            </w:r>
          </w:p>
        </w:tc>
        <w:tc>
          <w:tcPr>
            <w:tcW w:type="dxa" w:w="45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Instrumento aplicado a cada líder: liderança, comunicação, métricas, follow-up, cultura e mudança.</w:t>
            </w:r>
          </w:p>
        </w:tc>
        <w:tc>
          <w:tcPr>
            <w:tcW w:type="dxa" w:w="2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Entrevista individual de 45–60 min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 · Consolidação</w:t>
            </w:r>
          </w:p>
        </w:tc>
        <w:tc>
          <w:tcPr>
            <w:tcW w:type="dxa" w:w="45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Lista de evidências, matriz de análise e passagem do briefing para as equipas Midia Pro.</w:t>
            </w:r>
          </w:p>
        </w:tc>
        <w:tc>
          <w:tcPr>
            <w:tcW w:type="dxa" w:w="2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Uso interno Midia Pro</w:t>
            </w:r>
          </w:p>
        </w:tc>
      </w:tr>
    </w:tbl>
    <w:p>
      <w:pPr>
        <w:spacing w:after="0" w:before="0" w:line="20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2. Passo a passo para o cliente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Nomeie um ponto focal.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Uma pessoa coordena o preenchimento, distribui as etapas e devolve o documento completo.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Distribua cada etapa à área indicada.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Cada etapa começa com uma faixa azul que indica quem a deve preencher e o tempo estimado.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Leia a caixa "Como fazer o diagnóstico nesta etapa"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antes de responder. Explica o objectivo, onde está a informação e como levantá-la internamente.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Responda com factos e números.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Siga o "Modelo aceite" de cada campo e use dados dos últimos 6 a 12 meses sempre que possível.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Anexe as evidências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pedidas numa pasta partilhada, com nomes claros: HC_Etapa05_TabelaPrecos.pdf.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Não deixe campos em branco.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Se a informação não existir, escreva "Não disponível" e indique quem a pode ter. Isso também é um dado do diagnóstico.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Revisão final.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O ponto focal confirma que todos os campos obrigatórios (*) estão preenchidos e devolve o documento à Midia Pro.</w:t>
      </w:r>
    </w:p>
    <w:p>
      <w:pPr>
        <w:spacing w:after="0" w:before="0" w:line="12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3. Legenda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D63A3A"/>
                <w:sz w:val="24"/>
                <w:szCs w:val="24"/>
              </w:rPr>
              <w:t xml:space="preserve">*</w:t>
            </w:r>
          </w:p>
        </w:tc>
        <w:tc>
          <w:tcPr>
            <w:tcW w:type="dxa" w:w="8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Campo obrigatório: sem esta informação não é possível construir a estratégia.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8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Escolha única: assinale apenas uma opção.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4"/>
                <w:szCs w:val="24"/>
              </w:rPr>
              <w:t xml:space="preserve">□</w:t>
            </w:r>
          </w:p>
        </w:tc>
        <w:tc>
          <w:tcPr>
            <w:tcW w:type="dxa" w:w="8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Escolha múltipla: assinale todas as opções que se aplicam.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5"/>
                <w:szCs w:val="15"/>
              </w:rPr>
              <w:t xml:space="preserve">1 a 5</w:t>
            </w:r>
          </w:p>
        </w:tc>
        <w:tc>
          <w:tcPr>
            <w:tcW w:type="dxa" w:w="8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Escala de avaliação: 1 = Muito fraco · 2 = Fraco · 3 = Razoável · 4 = Bom · 5 = Excelente.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5"/>
                <w:szCs w:val="15"/>
              </w:rPr>
              <w:t xml:space="preserve">EVIDÊNCIA</w:t>
            </w:r>
          </w:p>
        </w:tc>
        <w:tc>
          <w:tcPr>
            <w:tcW w:type="dxa" w:w="8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Documento ou registo que comprova a resposta e deve ser anexado na pasta partilhada.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5"/>
                <w:szCs w:val="15"/>
              </w:rPr>
              <w:t xml:space="preserve">Como levantar</w:t>
            </w:r>
          </w:p>
        </w:tc>
        <w:tc>
          <w:tcPr>
            <w:tcW w:type="dxa" w:w="8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Indica quem tem a informação dentro da empresa e onde a encontrar.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5"/>
                <w:szCs w:val="15"/>
              </w:rPr>
              <w:t xml:space="preserve">Modelo aceite</w:t>
            </w:r>
          </w:p>
        </w:tc>
        <w:tc>
          <w:tcPr>
            <w:tcW w:type="dxa" w:w="8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Exemplo do formato de resposta esperado. Substitua pelos dados reais da empresa.</w:t>
            </w:r>
          </w:p>
        </w:tc>
      </w:tr>
    </w:tbl>
    <w:p>
      <w:pPr>
        <w:spacing w:after="0" w:before="0" w:line="20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4. Regras de ouro do diagnóstico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Percepção + evidência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 w:line="276"/>
            </w:pPr>
            <w:r>
              <w:rPr>
                <w:rFonts w:ascii="Google Sans" w:cs="Google Sans" w:eastAsia="Google Sans" w:hAnsi="Google Sans"/>
                <w:b/>
                <w:bCs/>
                <w:color w:val="1A1F36"/>
                <w:sz w:val="20"/>
                <w:szCs w:val="20"/>
              </w:rPr>
              <w:t xml:space="preserve">Cruzar sempre percepção com evidência.</w:t>
            </w:r>
            <w:r>
              <w:rPr>
                <w:rFonts w:ascii="Google Sans" w:cs="Google Sans" w:eastAsia="Google Sans" w:hAnsi="Google Sans"/>
                <w:color w:val="1A1F36"/>
                <w:sz w:val="20"/>
                <w:szCs w:val="20"/>
              </w:rPr>
              <w:t xml:space="preserve"> Uma resposta positiva sem processo, registo ou métrica que a comprove é assinalada como discrepância entre percepção e prática.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 w:line="276"/>
            </w:pPr>
            <w:r>
              <w:rPr>
                <w:rFonts w:ascii="Google Sans" w:cs="Google Sans" w:eastAsia="Google Sans" w:hAnsi="Google Sans"/>
                <w:b/>
                <w:bCs/>
                <w:color w:val="1A1F36"/>
                <w:sz w:val="20"/>
                <w:szCs w:val="20"/>
              </w:rPr>
              <w:t xml:space="preserve">Ser específico.</w:t>
            </w:r>
            <w:r>
              <w:rPr>
                <w:rFonts w:ascii="Google Sans" w:cs="Google Sans" w:eastAsia="Google Sans" w:hAnsi="Google Sans"/>
                <w:color w:val="1A1F36"/>
                <w:sz w:val="20"/>
                <w:szCs w:val="20"/>
              </w:rPr>
              <w:t xml:space="preserve"> "Vendemos bem" não ajuda; "vendemos 11,2 M MZN em Setembro, 86% da meta" permite decidir.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 w:line="276"/>
            </w:pPr>
            <w:r>
              <w:rPr>
                <w:rFonts w:ascii="Google Sans" w:cs="Google Sans" w:eastAsia="Google Sans" w:hAnsi="Google Sans"/>
                <w:b/>
                <w:bCs/>
                <w:color w:val="1A1F36"/>
                <w:sz w:val="20"/>
                <w:szCs w:val="20"/>
              </w:rPr>
              <w:t xml:space="preserve">Comparar unidades.</w:t>
            </w:r>
            <w:r>
              <w:rPr>
                <w:rFonts w:ascii="Google Sans" w:cs="Google Sans" w:eastAsia="Google Sans" w:hAnsi="Google Sans"/>
                <w:color w:val="1A1F36"/>
                <w:sz w:val="20"/>
                <w:szCs w:val="20"/>
              </w:rPr>
              <w:t xml:space="preserve"> As respostas das três lojas são comparadas para identificar diferenças de comunicação, atendimento e execução.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 w:line="276"/>
            </w:pPr>
            <w:r>
              <w:rPr>
                <w:rFonts w:ascii="Google Sans" w:cs="Google Sans" w:eastAsia="Google Sans" w:hAnsi="Google Sans"/>
                <w:b/>
                <w:bCs/>
                <w:color w:val="1A1F36"/>
                <w:sz w:val="20"/>
                <w:szCs w:val="20"/>
              </w:rPr>
              <w:t xml:space="preserve">Confidencialidade.</w:t>
            </w:r>
            <w:r>
              <w:rPr>
                <w:rFonts w:ascii="Google Sans" w:cs="Google Sans" w:eastAsia="Google Sans" w:hAnsi="Google Sans"/>
                <w:color w:val="1A1F36"/>
                <w:sz w:val="20"/>
                <w:szCs w:val="20"/>
              </w:rPr>
              <w:t xml:space="preserve"> Os resultados são apresentados de forma consolidada, por dimensão, sem exposição individual.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 w:line="276"/>
            </w:pPr>
            <w:r>
              <w:rPr>
                <w:rFonts w:ascii="Google Sans" w:cs="Google Sans" w:eastAsia="Google Sans" w:hAnsi="Google Sans"/>
                <w:b/>
                <w:bCs/>
                <w:color w:val="1A1F36"/>
                <w:sz w:val="20"/>
                <w:szCs w:val="20"/>
              </w:rPr>
              <w:t xml:space="preserve">Sem procura de culpados.</w:t>
            </w:r>
            <w:r>
              <w:rPr>
                <w:rFonts w:ascii="Google Sans" w:cs="Google Sans" w:eastAsia="Google Sans" w:hAnsi="Google Sans"/>
                <w:color w:val="1A1F36"/>
                <w:sz w:val="20"/>
                <w:szCs w:val="20"/>
              </w:rPr>
              <w:t xml:space="preserve"> O objectivo é identificar os pontos do sistema, dos processos e da liderança que precisam de intervenção.</w:t>
            </w:r>
          </w:p>
        </w:tc>
      </w:tr>
    </w:tbl>
    <w:p>
      <w:pPr>
        <w:spacing w:after="0" w:before="0" w:line="20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5. Calendário recomendado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938"/>
        <w:gridCol w:w="2800"/>
      </w:tblGrid>
      <w:tr>
        <w:trPr>
          <w:cantSplit/>
          <w:tblHeader/>
        </w:trPr>
        <w:tc>
          <w:tcPr>
            <w:tcW w:type="dxa" w:w="19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  <w:tc>
          <w:tcPr>
            <w:tcW w:type="dxa" w:w="49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O quê</w:t>
            </w:r>
          </w:p>
        </w:tc>
        <w:tc>
          <w:tcPr>
            <w:tcW w:type="dxa" w:w="28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Dia 1</w:t>
            </w:r>
          </w:p>
        </w:tc>
        <w:tc>
          <w:tcPr>
            <w:tcW w:type="dxa" w:w="49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Reunião de arranque: apresentação do documento e nomeação do ponto focal</w:t>
            </w:r>
          </w:p>
        </w:tc>
        <w:tc>
          <w:tcPr>
            <w:tcW w:type="dxa" w:w="28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Midia Pro + Direcção-Geral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Dias 2 a 5</w:t>
            </w:r>
          </w:p>
        </w:tc>
        <w:tc>
          <w:tcPr>
            <w:tcW w:type="dxa" w:w="49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Preenchimento da Parte A pelos departamentos e recolha de evidências</w:t>
            </w:r>
          </w:p>
        </w:tc>
        <w:tc>
          <w:tcPr>
            <w:tcW w:type="dxa" w:w="28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Ponto focal + departamentos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Dias 3 a 8</w:t>
            </w:r>
          </w:p>
        </w:tc>
        <w:tc>
          <w:tcPr>
            <w:tcW w:type="dxa" w:w="49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Entrevistas individuais da Parte B e observação das lojas</w:t>
            </w:r>
          </w:p>
        </w:tc>
        <w:tc>
          <w:tcPr>
            <w:tcW w:type="dxa" w:w="28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Mirza Jamal (Midia Pro)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Dia 9</w:t>
            </w:r>
          </w:p>
        </w:tc>
        <w:tc>
          <w:tcPr>
            <w:tcW w:type="dxa" w:w="49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Revisão final pelo ponto focal e devolução do documento</w:t>
            </w:r>
          </w:p>
        </w:tc>
        <w:tc>
          <w:tcPr>
            <w:tcW w:type="dxa" w:w="28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Ponto focal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Até 48 h depois</w:t>
            </w:r>
          </w:p>
        </w:tc>
        <w:tc>
          <w:tcPr>
            <w:tcW w:type="dxa" w:w="49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Consolidação e redacção do Plano Estratégico</w:t>
            </w:r>
          </w:p>
        </w:tc>
        <w:tc>
          <w:tcPr>
            <w:tcW w:type="dxa" w:w="28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Planeamento estratégico (Midia Pro)</w:t>
            </w:r>
          </w:p>
        </w:tc>
      </w:tr>
    </w:tbl>
    <w:p>
      <w:pPr>
        <w:keepLines/>
        <w:spacing w:after="120" w:before="80" w:line="276" w:lineRule="auto"/>
      </w:pP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Calendário indicativo; é ajustado na reunião de arranque.</w:t>
      </w:r>
    </w:p>
    <w:p>
      <w:pPr>
        <w:keepNext/>
        <w:pageBreakBefore/>
        <w:spacing w:after="60"/>
      </w:pPr>
      <w:r>
        <w:rPr>
          <w:rFonts w:ascii="Google Sans" w:cs="Google Sans" w:eastAsia="Google Sans" w:hAnsi="Google Sans"/>
          <w:b/>
          <w:bCs/>
          <w:caps/>
          <w:color w:val="2E5BE6"/>
          <w:spacing w:val="40"/>
          <w:sz w:val="18"/>
          <w:szCs w:val="18"/>
        </w:rPr>
        <w:t xml:space="preserve">Parte A</w:t>
      </w:r>
    </w:p>
    <w:p>
      <w:pPr>
        <w:pStyle w:val="Heading1"/>
        <w:keepNext/>
        <w:pBdr>
          <w:bottom w:val="single" w:color="011169" w:sz="12" w:space="6"/>
        </w:pBdr>
      </w:pPr>
      <w:r>
        <w:rPr>
          <w:rFonts w:ascii="Google Sans" w:cs="Google Sans" w:eastAsia="Google Sans" w:hAnsi="Google Sans"/>
        </w:rPr>
        <w:t xml:space="preserve">Parte A · Briefing Estratégico</w:t>
      </w:r>
    </w:p>
    <w:p>
      <w:pPr>
        <w:keepLines/>
        <w:spacing w:after="200" w:before="0" w:line="276" w:lineRule="auto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As 10 etapas seguintes estão organizadas por área da empresa. Cada uma pode ser entregue ao departamento responsável e preenchida em paralelo. No final, o ponto focal reúne as respostas e confirma os campos obrigatórios.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0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O que a Midia Pro vai construir com esta informação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01 · Identificação &amp; Visão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Diagnóstico de contexto e definição do problema central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02 · Público-Alvo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Personas, segmentação de anúncios e mensagens por perfil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03 · Posicionamento &amp; Marca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Posicionamento, tom de voz e linha criativa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04 · Objectivos &amp; Metas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Metas SMART, KPIs e painel de resultados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05 · Oferta &amp; Pontos de Venda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Oferta principal, promessa e calendário de campanhas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06 · Comunicação &amp; Conteúdo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Plano editorial e dimensionamento da produção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07 · Tráfego Pago &amp; Funil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Plano de media, orçamento e funil de conversão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08 · Processo Comercial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Processo de vendas, follow-up e argumentário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09 · Tecnologia &amp; Sistemas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Plano técnico: web, automações e integrações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10 · Aprovações &amp; Materiais</w:t>
            </w:r>
          </w:p>
        </w:tc>
        <w:tc>
          <w:tcPr>
            <w:tcW w:type="dxa" w:w="6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Fluxo de trabalho, aprovações e prazos</w:t>
            </w:r>
          </w:p>
        </w:tc>
      </w:tr>
    </w:tbl>
    <w:p>
      <w:pPr>
        <w:pStyle w:val="Heading2"/>
        <w:keepNext/>
        <w:pageBreakBefore/>
        <w:spacing w:after="0" w:before="0" w:line="20" w:lineRule="exact"/>
      </w:pPr>
      <w:r>
        <w:rPr>
          <w:rFonts w:ascii="Google Sans" w:cs="Google Sans" w:eastAsia="Google Sans" w:hAnsi="Google Sans"/>
          <w:color w:val="FFFFFF"/>
          <w:sz w:val="2"/>
          <w:szCs w:val="2"/>
        </w:rPr>
        <w:t xml:space="preserve">Etapa 01 · Identificação &amp; Visão do Negócio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9DB2FF"/>
                <w:spacing w:val="40"/>
                <w:sz w:val="15"/>
                <w:szCs w:val="15"/>
              </w:rPr>
              <w:t xml:space="preserve">ETAPA</w:t>
            </w:r>
          </w:p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52"/>
                <w:szCs w:val="52"/>
              </w:rPr>
              <w:t xml:space="preserve">01</w:t>
            </w:r>
          </w:p>
        </w:tc>
        <w:tc>
          <w:tcPr>
            <w:tcW w:type="dxa" w:w="7938"/>
            <w:tcBorders>
              <w:top w:val="single" w:color="EEF1FB" w:sz="4"/>
              <w:left w:val="single" w:color="EEF1FB" w:sz="4"/>
              <w:bottom w:val="single" w:color="EEF1FB" w:sz="4"/>
              <w:right w:val="single" w:color="EEF1FB" w:sz="4"/>
            </w:tcBorders>
            <w:shd w:fill="EEF1FB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5"/>
                <w:szCs w:val="15"/>
              </w:rPr>
              <w:t xml:space="preserve">Direcção-Geral</w:t>
            </w:r>
          </w:p>
          <w:p>
            <w:pPr>
              <w:keepLines/>
              <w:spacing w:after="60" w:before="0" w:line="240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32"/>
                <w:szCs w:val="32"/>
              </w:rPr>
              <w:t xml:space="preserve">Identificação &amp; Visão do Negócio</w:t>
            </w:r>
          </w:p>
          <w:p>
            <w:pPr>
              <w:spacing w:after="0"/>
            </w:pP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Tempo: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15 min   ·   </w:t>
            </w: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Quem preenche: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Director-Geral, com Financeiro e RH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fazer o diagnóstico nesta etapa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Objectivo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Perceber quem é a empresa, a sua dimensão e o problema que motivou este diagnóstico.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Fontes internas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Relatório de vendas mensal (últimos 12 meses, por loja), organigrama, lista de lojas e colaboradores.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Como levantar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Reunião de 15 minutos com a Direcção. Os números devem vir do Financeiro/Contabilidade e não de estimativas de memória.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Evidências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Organigrama actual · Relatório de vendas dos últimos 12 meses por loja.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Nome / Marca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Nome comercial usado nas lojas e, se for diferente, o nome jurídico da empresa.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Home Center (Home Center, Lda.)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Segmento / Nicho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Sector principal e tipo de cliente servido.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Retalho de materiais de construção, acabamentos, casa e decoração (particulares e empresas).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1.3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Responsável pelo contacto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A pessoa que vai coordenar o briefing internamente (ponto focal).</w:t>
      </w:r>
    </w:p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Nome *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Cargo</w:t>
            </w:r>
          </w:p>
        </w:tc>
      </w:tr>
      <w:tr>
        <w:trPr>
          <w:cantSplit/>
          <w:trHeight w:val="560" w:hRule="atLeast"/>
        </w:trPr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1.4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Contactos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nome@empresa.co.mz  ·  +258 8X XXX XXXX</w:t>
      </w:r>
    </w:p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Email *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WhatsApp / Telefone</w:t>
            </w:r>
          </w:p>
        </w:tc>
      </w:tr>
      <w:tr>
        <w:trPr>
          <w:cantSplit/>
          <w:trHeight w:val="560" w:hRule="atLeast"/>
        </w:trPr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1.5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Website e redes sociais activas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Indique apenas as contas com publicações nos últimos 30 dias.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www.empresa.co.mz · Instagram @empresa · Facebook /empresa · TikTok @empresa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1.6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Descrição resumida do negócio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Em 3 a 5 linhas: o que vende, a quem, onde e o que a distingue.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Rede de 3 lojas em Maputo e Matola que vende materiais de construção, acabamentos e artigos para a casa a particulares e empreiteiros, com entrega ao domicílio e aconselhamento técnico.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98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1.7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Estrutura: lojas e equipas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O RH confirma o número de colaboradores por unidade.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600"/>
        <w:gridCol w:w="2738"/>
        <w:gridCol w:w="1700"/>
      </w:tblGrid>
      <w:tr>
        <w:trPr>
          <w:cantSplit/>
          <w:tblHeader/>
        </w:trPr>
        <w:tc>
          <w:tcPr>
            <w:tcW w:type="dxa" w:w="26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Loja / Unidade</w:t>
            </w:r>
          </w:p>
        </w:tc>
        <w:tc>
          <w:tcPr>
            <w:tcW w:type="dxa" w:w="26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27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Nº colaboradores</w:t>
            </w:r>
          </w:p>
        </w:tc>
      </w:tr>
      <w:tr>
        <w:trPr>
          <w:cantSplit/>
          <w:trHeight w:val="330" w:hRule="atLeast"/>
        </w:trPr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Loja 1</w:t>
            </w: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7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17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Loja 2</w:t>
            </w: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7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17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Loja 3</w:t>
            </w: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7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17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Sede / Escritório</w:t>
            </w: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  <w:tc>
          <w:tcPr>
            <w:tcW w:type="dxa" w:w="27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  <w:tc>
          <w:tcPr>
            <w:tcW w:type="dxa" w:w="17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1.8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Tempo de mercado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Menos de 1 ano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1 a 3 anos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3 a 5 anos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5 a 10 anos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Mais de 10 anos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1.9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Facturação mensal estimada (confidencial)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Média dos últimos 6 meses, fornecida pelo Financeiro.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Média: 12.500.000 MZN/mês (Abril–Setembro 2026).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FFFFFF"/>
          <w:sz w:val="14"/>
          <w:szCs w:val="14"/>
          <w:shd w:fill="2E5BE6" w:color="auto" w:val="clear"/>
        </w:rPr>
        <w:t xml:space="preserve">EVIDÊNCIA A ANEXAR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  Relatório de vendas mensal.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1.10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Evolução das vendas nos últimos 12 meses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Compare o total dos últimos 12 meses com os 12 meses anteriores.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Crescimento acima de 10%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Crescimento até 10%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Estável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Queda até 10%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Queda acima de 10%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1.11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Principal desafio que motivou este diagnóstico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Descreva o problema em factos: o quê, desde quando, onde e com que impacto.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Redução de cerca de 15% nas vendas desde Março; atendimento diferente entre as 3 lojas; clientes que pedem orçamento e não recebem follow-up.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98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2"/>
        <w:keepNext/>
        <w:pageBreakBefore/>
        <w:spacing w:after="0" w:before="0" w:line="20" w:lineRule="exact"/>
      </w:pPr>
      <w:r>
        <w:rPr>
          <w:rFonts w:ascii="Google Sans" w:cs="Google Sans" w:eastAsia="Google Sans" w:hAnsi="Google Sans"/>
          <w:color w:val="FFFFFF"/>
          <w:sz w:val="2"/>
          <w:szCs w:val="2"/>
        </w:rPr>
        <w:t xml:space="preserve">Etapa 02 · Público-Alvo &amp; Cliente Ideal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9DB2FF"/>
                <w:spacing w:val="40"/>
                <w:sz w:val="15"/>
                <w:szCs w:val="15"/>
              </w:rPr>
              <w:t xml:space="preserve">ETAPA</w:t>
            </w:r>
          </w:p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52"/>
                <w:szCs w:val="52"/>
              </w:rPr>
              <w:t xml:space="preserve">02</w:t>
            </w:r>
          </w:p>
        </w:tc>
        <w:tc>
          <w:tcPr>
            <w:tcW w:type="dxa" w:w="7938"/>
            <w:tcBorders>
              <w:top w:val="single" w:color="EEF1FB" w:sz="4"/>
              <w:left w:val="single" w:color="EEF1FB" w:sz="4"/>
              <w:bottom w:val="single" w:color="EEF1FB" w:sz="4"/>
              <w:right w:val="single" w:color="EEF1FB" w:sz="4"/>
            </w:tcBorders>
            <w:shd w:fill="EEF1FB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5"/>
                <w:szCs w:val="15"/>
              </w:rPr>
              <w:t xml:space="preserve">Marketing · Comercial</w:t>
            </w:r>
          </w:p>
          <w:p>
            <w:pPr>
              <w:keepLines/>
              <w:spacing w:after="60" w:before="0" w:line="240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32"/>
                <w:szCs w:val="32"/>
              </w:rPr>
              <w:t xml:space="preserve">Público-Alvo &amp; Cliente Ideal</w:t>
            </w:r>
          </w:p>
          <w:p>
            <w:pPr>
              <w:spacing w:after="0"/>
            </w:pP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Tempo: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25 min   ·   </w:t>
            </w: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Quem preenche: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Marketing + gerente de loja + vendedor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fazer o diagnóstico nesta etapa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Objectivo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Definir com precisão quem compra, porque compra e o que o impede de comprar. É a base de toda a comunicação e do tráfego pago.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Fontes internas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Facturação por tipo de cliente, base de clientes/CRM, estatísticas das redes (Meta Business Suite), conversa com os vendedores de balcão.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Como levantar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Reúna-se 30 minutos com os vendedores que mais atendem: eles conhecem as perguntas e objecções reais. Liste as 10 perguntas mais frequentes dos clientes. Use as estatísticas das redes para confirmar a idade e a localização.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Evidências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Captura das estatísticas das redes (idade, género, localização) · Facturação por tipo de cliente.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Tipo de cliente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Indique também o peso aproximado de cada tipo nas vendas.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Particulares 55% · Empreiteiros 30% · Empresas 15%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Particulares (obra própria / remodelação)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Empreiteiros e construtores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Arquitectos e designers de interiores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Empresas e instituições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Revendedores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Outro</w:t>
            </w:r>
          </w:p>
        </w:tc>
      </w:tr>
    </w:tbl>
    <w:p>
      <w:pPr>
        <w:spacing w:after="0" w:before="60"/>
      </w:pP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Outro / detalhe: </w:t>
      </w: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________________________________________________</w:t>
      </w:r>
    </w:p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Faixa etária predominante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18 a 24 anos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25 a 34 anos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35 a 44 anos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45 a 54 anos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55 anos ou mais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2.3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Género predominante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Maioritariamente masculino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Maioritariamente feminino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Equilibrado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2.4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Localização geográfica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Onde vivem ou trabalham os clientes. Se possível, indique percentagens.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Maputo Cidade 50% · Matola 35% · Marracuene e Boane 10% · Outras províncias 5%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2.5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Classe socioeconómica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A: Alta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B: Média-alta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C: Média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D: Média-baixa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2.6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Principais dores / problemas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Pergunte aos vendedores: "Com que problema o cliente chega à loja?"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Não sabe quanta quantidade de material precisa; medo de comprar com baixa qualidade; falta de produto em stock; dificuldade de transporte.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98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2.7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Principais desejos / aspirações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O resultado final que o cliente quer alcançar, não o produto.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Terminar a obra dentro do orçamento; ter uma casa bonita e segura; ser bem aconselhado e confiar no fornecedor.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98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2.8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Objecções mais comuns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Frases que os clientes dizem antes de desistir da compra.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"Está mais caro que na concorrência." · "Vou pensar." · "Não entregam no mesmo dia?"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2.9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Gatilhos de decisão de compra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Preço / promoção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Disponibilidade imediata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Qualidade / marca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Entrega ao domicílio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Crédito / condições de pagamento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Atendimento e aconselhamento técnico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Variedade de produtos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Garantia / assistência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Localização / conveniência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Recomendação de terceiros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2.10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Plataformas digitais que o público mais frequenta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Instagram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Facebook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TikTok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YouTube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LinkedIn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WhatsApp / Telegram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Google (pesquisa)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Twitter / X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Pinterest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Podcasts / Spotify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2.11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Estágio de consciência do público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Essencial para o copy e o tráfego pago. Escolha o estágio da maioria dos clientes.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b/>
                <w:bCs/>
                <w:color w:val="1A1F36"/>
                <w:sz w:val="18"/>
                <w:szCs w:val="18"/>
              </w:rPr>
              <w:t xml:space="preserve">Não consciente: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 não sabe que tem o problema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b/>
                <w:bCs/>
                <w:color w:val="1A1F36"/>
                <w:sz w:val="18"/>
                <w:szCs w:val="18"/>
              </w:rPr>
              <w:t xml:space="preserve">Consciente do problema: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 mas não conhece a solução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b/>
                <w:bCs/>
                <w:color w:val="1A1F36"/>
                <w:sz w:val="18"/>
                <w:szCs w:val="18"/>
              </w:rPr>
              <w:t xml:space="preserve">Consciente da solução: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 mas não conhece o produto/marca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b/>
                <w:bCs/>
                <w:color w:val="1A1F36"/>
                <w:sz w:val="18"/>
                <w:szCs w:val="18"/>
              </w:rPr>
              <w:t xml:space="preserve">Consciente do produto: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 mas ainda não decidiu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b/>
                <w:bCs/>
                <w:color w:val="1A1F36"/>
                <w:sz w:val="18"/>
                <w:szCs w:val="18"/>
              </w:rPr>
              <w:t xml:space="preserve">Mais consciente: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 quase pronto para comprar</w:t>
            </w:r>
          </w:p>
        </w:tc>
      </w:tr>
    </w:tbl>
    <w:p>
      <w:pPr>
        <w:pStyle w:val="Heading2"/>
        <w:keepNext/>
        <w:pageBreakBefore/>
        <w:spacing w:after="0" w:before="0" w:line="20" w:lineRule="exact"/>
      </w:pPr>
      <w:r>
        <w:rPr>
          <w:rFonts w:ascii="Google Sans" w:cs="Google Sans" w:eastAsia="Google Sans" w:hAnsi="Google Sans"/>
          <w:color w:val="FFFFFF"/>
          <w:sz w:val="2"/>
          <w:szCs w:val="2"/>
        </w:rPr>
        <w:t xml:space="preserve">Etapa 03 · Posicionamento &amp; Marca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9DB2FF"/>
                <w:spacing w:val="40"/>
                <w:sz w:val="15"/>
                <w:szCs w:val="15"/>
              </w:rPr>
              <w:t xml:space="preserve">ETAPA</w:t>
            </w:r>
          </w:p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52"/>
                <w:szCs w:val="52"/>
              </w:rPr>
              <w:t xml:space="preserve">03</w:t>
            </w:r>
          </w:p>
        </w:tc>
        <w:tc>
          <w:tcPr>
            <w:tcW w:type="dxa" w:w="7938"/>
            <w:tcBorders>
              <w:top w:val="single" w:color="EEF1FB" w:sz="4"/>
              <w:left w:val="single" w:color="EEF1FB" w:sz="4"/>
              <w:bottom w:val="single" w:color="EEF1FB" w:sz="4"/>
              <w:right w:val="single" w:color="EEF1FB" w:sz="4"/>
            </w:tcBorders>
            <w:shd w:fill="EEF1FB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5"/>
                <w:szCs w:val="15"/>
              </w:rPr>
              <w:t xml:space="preserve">Marketing · Direcção-Geral</w:t>
            </w:r>
          </w:p>
          <w:p>
            <w:pPr>
              <w:keepLines/>
              <w:spacing w:after="60" w:before="0" w:line="240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32"/>
                <w:szCs w:val="32"/>
              </w:rPr>
              <w:t xml:space="preserve">Posicionamento &amp; Marca</w:t>
            </w:r>
          </w:p>
          <w:p>
            <w:pPr>
              <w:spacing w:after="0"/>
            </w:pP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Tempo: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20 min   ·   </w:t>
            </w: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Quem preenche: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Direcção-Geral + Marketing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fazer o diagnóstico nesta etapa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Objectivo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Definir como a marca quer ser percebida, contra quem compete e como deve falar.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Fontes internas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Manual de marca, peças já publicadas, avaliações de clientes (Google, Facebook), observação das lojas e redes dos concorrentes.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Como levantar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Escreva a proposta de valor numa só frase. Para o posicionamento actual, pergunte a 5 clientes: "Porque compra aqui e não noutro lado?". Visite as redes e as lojas de 2 a 5 concorrentes.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Evidências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Manual de marca ou logótipo em alta resolução · Exemplos de peças publicadas.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3.1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Proposta de Valor Única (PVU)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Complete a frase-modelo com a realidade da empresa.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Para [público] que [necessidade], a [marca] é [categoria] que [benefício principal], porque [prova / diferencial].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3.2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Posicionamento actual percebido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Como os clientes descrevem a marca hoje (avaliações, conversas, reclamações).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"Tem de tudo, mas o atendimento varia muito de loja para loja."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3.3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Posicionamento desejado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A referência em Maputo para quem constrói ou remodela: variedade, aconselhamento técnico e entrega rápida.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3.4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Principais concorrentes (2 a 5)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2000"/>
        <w:gridCol w:w="2669"/>
        <w:gridCol w:w="2669"/>
      </w:tblGrid>
      <w:tr>
        <w:trPr>
          <w:cantSplit/>
          <w:tblHeader/>
        </w:trPr>
        <w:tc>
          <w:tcPr>
            <w:tcW w:type="dxa" w:w="23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Concorrente</w:t>
            </w:r>
          </w:p>
        </w:tc>
        <w:tc>
          <w:tcPr>
            <w:tcW w:type="dxa" w:w="20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Onde actua</w:t>
            </w:r>
          </w:p>
        </w:tc>
        <w:tc>
          <w:tcPr>
            <w:tcW w:type="dxa" w:w="2669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Ponto forte</w:t>
            </w:r>
          </w:p>
        </w:tc>
        <w:tc>
          <w:tcPr>
            <w:tcW w:type="dxa" w:w="2669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Ponto fraco</w:t>
            </w: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6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6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6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6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6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6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  <w:tc>
          <w:tcPr>
            <w:tcW w:type="dxa" w:w="2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  <w:tc>
          <w:tcPr>
            <w:tcW w:type="dxa" w:w="266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  <w:tc>
          <w:tcPr>
            <w:tcW w:type="dxa" w:w="266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3.5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Tom de voz principal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Profissional / Sério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Inspirador / Motivacional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Próximo / Amigável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Humorístico / Leve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Educativo / Didáctico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Provocador / Disruptivo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Autoritário / Especialista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Simpático / Acolhedor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3.6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O que não combina com a marca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Linguagem demasiado informal; humor sobre segurança na obra; promessas de "o mais barato do mercado".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3.7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Palavras-chave da marca (5 a 10)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Palavras que devem aparecer de forma consistente na comunicação.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confiança · variedade · obra · casa · qualidade · rapidez · aconselhamento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3.8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Marcas ou perfis de referência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Indique o link e o que admira em cada uma.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@marca_x: fotografia de produto · @marca_y: vídeos de dicas curtos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3.9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Identidade visual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FFFFFF"/>
          <w:sz w:val="14"/>
          <w:szCs w:val="14"/>
          <w:shd w:fill="2E5BE6" w:color="auto" w:val="clear"/>
        </w:rPr>
        <w:t xml:space="preserve">EVIDÊNCIA A ANEXAR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  Manual de marca ou logótipo em alta resolução (PNG/SVG/PDF).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Sim: completa (manual de marca)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Sim: parcial (logótipo + cores)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Sim: mas precisa de actualização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Não: será desenvolvida do zero</w:t>
            </w:r>
          </w:p>
        </w:tc>
      </w:tr>
    </w:tbl>
    <w:p>
      <w:pPr>
        <w:pStyle w:val="Heading2"/>
        <w:keepNext/>
        <w:pageBreakBefore/>
        <w:spacing w:after="0" w:before="0" w:line="20" w:lineRule="exact"/>
      </w:pPr>
      <w:r>
        <w:rPr>
          <w:rFonts w:ascii="Google Sans" w:cs="Google Sans" w:eastAsia="Google Sans" w:hAnsi="Google Sans"/>
          <w:color w:val="FFFFFF"/>
          <w:sz w:val="2"/>
          <w:szCs w:val="2"/>
        </w:rPr>
        <w:t xml:space="preserve">Etapa 04 · Objectivos &amp; Metas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9DB2FF"/>
                <w:spacing w:val="40"/>
                <w:sz w:val="15"/>
                <w:szCs w:val="15"/>
              </w:rPr>
              <w:t xml:space="preserve">ETAPA</w:t>
            </w:r>
          </w:p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52"/>
                <w:szCs w:val="52"/>
              </w:rPr>
              <w:t xml:space="preserve">04</w:t>
            </w:r>
          </w:p>
        </w:tc>
        <w:tc>
          <w:tcPr>
            <w:tcW w:type="dxa" w:w="7938"/>
            <w:tcBorders>
              <w:top w:val="single" w:color="EEF1FB" w:sz="4"/>
              <w:left w:val="single" w:color="EEF1FB" w:sz="4"/>
              <w:bottom w:val="single" w:color="EEF1FB" w:sz="4"/>
              <w:right w:val="single" w:color="EEF1FB" w:sz="4"/>
            </w:tcBorders>
            <w:shd w:fill="EEF1FB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5"/>
                <w:szCs w:val="15"/>
              </w:rPr>
              <w:t xml:space="preserve">Direcção-Geral · Marketing</w:t>
            </w:r>
          </w:p>
          <w:p>
            <w:pPr>
              <w:keepLines/>
              <w:spacing w:after="60" w:before="0" w:line="240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32"/>
                <w:szCs w:val="32"/>
              </w:rPr>
              <w:t xml:space="preserve">Objectivos &amp; Metas</w:t>
            </w:r>
          </w:p>
          <w:p>
            <w:pPr>
              <w:spacing w:after="0"/>
            </w:pP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Tempo: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15 min   ·   </w:t>
            </w: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Quem preenche: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Director-Geral + Marketing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fazer o diagnóstico nesta etapa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Objectivo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Definir um objectivo principal mensurável e o que significa sucesso. Sem meta clara não há estratégia.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Fontes internas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Orçamento anual, plano de negócios, metas comerciais por loja.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Como levantar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Escolha só um objectivo principal. Transforme-o numa meta com número e prazo (ex.: +20% de vendas até Março). Indique o que precisa de ver em 6 meses para considerar o trabalho um sucesso.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Evidências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Mapa de metas do ano por loja.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4.1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Objectivo principal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Lançamento (produto, serviço ou loja)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Geração de leads qualificados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Crescimento orgânico de audiência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Construção e consolidação de autoridade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Vendas directas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Reposicionamento de marca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Lançamento de nova marca do zero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Escalar vendas já existentes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4.2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Serviços pretendidos da Midia Pro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Planeamento estratégico e posicionamento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Branding digital / identidade visual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Copywriting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Design gráfico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Videomaking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Social media / produção de conteúdo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Gestão de tráfego pago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Inside Sales / processo comercial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Desenvolvimento tecnológico (web, automação)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Formação: liderança, atendimento e vendas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4.3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Meta quantitativa principal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Número + indicador + prazo.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Aumentar as vendas mensais de 12,5 M para 15 M MZN (+20%) até Março de 2027.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4.4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Resultado que define sucesso para o cliente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Vendas a crescer 3 meses seguidos, atendimento igual nas 3 lojas e 100% dos orçamentos com follow-up em 48h.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4.5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Calendário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Data de início *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Prazo / data de entrega *</w:t>
            </w:r>
          </w:p>
        </w:tc>
      </w:tr>
      <w:tr>
        <w:trPr>
          <w:cantSplit/>
          <w:trHeight w:val="560" w:hRule="atLeast"/>
        </w:trPr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4.6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KPIs a monitorizar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Alcance / impressões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Taxa de interacção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Seguidores ganhos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Leads gerados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Custo por lead (CPL)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Taxa de conversão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Custo por aquisição (CPA)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ROAS / ROI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Receita gerada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Visualizações de vídeo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</w:tbl>
    <w:p>
      <w:pPr>
        <w:pStyle w:val="Heading2"/>
        <w:keepNext/>
        <w:pageBreakBefore/>
        <w:spacing w:after="0" w:before="0" w:line="20" w:lineRule="exact"/>
      </w:pPr>
      <w:r>
        <w:rPr>
          <w:rFonts w:ascii="Google Sans" w:cs="Google Sans" w:eastAsia="Google Sans" w:hAnsi="Google Sans"/>
          <w:color w:val="FFFFFF"/>
          <w:sz w:val="2"/>
          <w:szCs w:val="2"/>
        </w:rPr>
        <w:t xml:space="preserve">Etapa 05 · Oferta, Produtos &amp; Pontos de Venda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9DB2FF"/>
                <w:spacing w:val="40"/>
                <w:sz w:val="15"/>
                <w:szCs w:val="15"/>
              </w:rPr>
              <w:t xml:space="preserve">ETAPA</w:t>
            </w:r>
          </w:p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52"/>
                <w:szCs w:val="52"/>
              </w:rPr>
              <w:t xml:space="preserve">05</w:t>
            </w:r>
          </w:p>
        </w:tc>
        <w:tc>
          <w:tcPr>
            <w:tcW w:type="dxa" w:w="7938"/>
            <w:tcBorders>
              <w:top w:val="single" w:color="EEF1FB" w:sz="4"/>
              <w:left w:val="single" w:color="EEF1FB" w:sz="4"/>
              <w:bottom w:val="single" w:color="EEF1FB" w:sz="4"/>
              <w:right w:val="single" w:color="EEF1FB" w:sz="4"/>
            </w:tcBorders>
            <w:shd w:fill="EEF1FB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5"/>
                <w:szCs w:val="15"/>
              </w:rPr>
              <w:t xml:space="preserve">Comercial · Compras</w:t>
            </w:r>
          </w:p>
          <w:p>
            <w:pPr>
              <w:keepLines/>
              <w:spacing w:after="60" w:before="0" w:line="240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32"/>
                <w:szCs w:val="32"/>
              </w:rPr>
              <w:t xml:space="preserve">Oferta, Produtos &amp; Pontos de Venda</w:t>
            </w:r>
          </w:p>
          <w:p>
            <w:pPr>
              <w:spacing w:after="0"/>
            </w:pP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Tempo: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15 min   ·   </w:t>
            </w: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Quem preenche: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Comercial + Compras + Financeiro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fazer o diagnóstico nesta etapa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Objectivo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Saber o que vamos comunicar, a que preço e porque é melhor do que a alternativa.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Fontes internas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Relatório de vendas por categoria, margens, tabela de preços, catálogo, avaliações de clientes.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Como levantar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Escolha as categorias que mais vendem e as que se quer fazer crescer (maior margem). Ticket médio = facturação do mês ÷ número de facturas do mês.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Evidências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Top 20 produtos por facturação · Tabela de preços ou catálogo · Campanhas em curso.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5.1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Produtos / categorias prioritárias a comunicar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Peso nas vendas: relatório por categoria. Margem: indicação do Financeiro.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38"/>
        <w:gridCol w:w="2000"/>
        <w:gridCol w:w="2400"/>
        <w:gridCol w:w="1800"/>
      </w:tblGrid>
      <w:tr>
        <w:trPr>
          <w:cantSplit/>
          <w:tblHeader/>
        </w:trPr>
        <w:tc>
          <w:tcPr>
            <w:tcW w:type="dxa" w:w="34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Categoria / produto</w:t>
            </w:r>
          </w:p>
        </w:tc>
        <w:tc>
          <w:tcPr>
            <w:tcW w:type="dxa" w:w="20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Peso nas vendas (%)</w:t>
            </w:r>
          </w:p>
        </w:tc>
        <w:tc>
          <w:tcPr>
            <w:tcW w:type="dxa" w:w="24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Margem (Alta/Média/Baixa)</w:t>
            </w:r>
          </w:p>
        </w:tc>
        <w:tc>
          <w:tcPr>
            <w:tcW w:type="dxa" w:w="18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Prioridade (1 a 3)</w:t>
            </w:r>
          </w:p>
        </w:tc>
      </w:tr>
      <w:tr>
        <w:trPr>
          <w:cantSplit/>
          <w:trHeight w:val="330" w:hRule="atLeast"/>
        </w:trPr>
        <w:tc>
          <w:tcPr>
            <w:tcW w:type="dxa" w:w="3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18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3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18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3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18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3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  <w:tc>
          <w:tcPr>
            <w:tcW w:type="dxa" w:w="2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  <w:tc>
          <w:tcPr>
            <w:tcW w:type="dxa" w:w="2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  <w:tc>
          <w:tcPr>
            <w:tcW w:type="dxa" w:w="18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5.2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Preço / ticket médio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Ticket médio: 8.500 MZN por factura (Setembro 2026). Particulares 4.000 MZN · Empreiteiros 35.000 MZN.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5.3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Promessa central da oferta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Complete: "Ao comprar na [marca], o cliente vai conseguir…"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…encontrar tudo para a obra num só lugar, com aconselhamento e entrega no próprio dia.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5.4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Diferenciais incluídos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Entrega ao domicílio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Crédito / pagamento a prestações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Orçamento gratuito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Aconselhamento técnico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Garantia / assistência pós-venda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Programa de fidelização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Condições para profissionais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Outro</w:t>
            </w:r>
          </w:p>
        </w:tc>
      </w:tr>
    </w:tbl>
    <w:p>
      <w:pPr>
        <w:spacing w:after="0" w:before="60"/>
      </w:pP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Outro / detalhe: </w:t>
      </w: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________________________________________________</w:t>
      </w:r>
    </w:p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5.5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Provas sociais disponíveis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Links ou descrição do que existe e pode ser usado na comunicação.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Avaliações Google 4,5 estrelas (320 avaliações) · vídeos de clientes · fotos de obras realizadas · parceiros e marcas representadas.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5.6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Pontos e canais de venda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Lojas físicas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Website / loja online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Redes sociais (mensagens)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Telefone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Vendedores externos / B2B</w:t>
            </w:r>
          </w:p>
        </w:tc>
      </w:tr>
    </w:tbl>
    <w:p>
      <w:pPr>
        <w:pStyle w:val="Heading2"/>
        <w:keepNext/>
        <w:pageBreakBefore/>
        <w:spacing w:after="0" w:before="0" w:line="20" w:lineRule="exact"/>
      </w:pPr>
      <w:r>
        <w:rPr>
          <w:rFonts w:ascii="Google Sans" w:cs="Google Sans" w:eastAsia="Google Sans" w:hAnsi="Google Sans"/>
          <w:color w:val="FFFFFF"/>
          <w:sz w:val="2"/>
          <w:szCs w:val="2"/>
        </w:rPr>
        <w:t xml:space="preserve">Etapa 06 · Comunicação &amp; Conteúdo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9DB2FF"/>
                <w:spacing w:val="40"/>
                <w:sz w:val="15"/>
                <w:szCs w:val="15"/>
              </w:rPr>
              <w:t xml:space="preserve">ETAPA</w:t>
            </w:r>
          </w:p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52"/>
                <w:szCs w:val="52"/>
              </w:rPr>
              <w:t xml:space="preserve">06</w:t>
            </w:r>
          </w:p>
        </w:tc>
        <w:tc>
          <w:tcPr>
            <w:tcW w:type="dxa" w:w="7938"/>
            <w:tcBorders>
              <w:top w:val="single" w:color="EEF1FB" w:sz="4"/>
              <w:left w:val="single" w:color="EEF1FB" w:sz="4"/>
              <w:bottom w:val="single" w:color="EEF1FB" w:sz="4"/>
              <w:right w:val="single" w:color="EEF1FB" w:sz="4"/>
            </w:tcBorders>
            <w:shd w:fill="EEF1FB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5"/>
                <w:szCs w:val="15"/>
              </w:rPr>
              <w:t xml:space="preserve">Marketing · Social Media</w:t>
            </w:r>
          </w:p>
          <w:p>
            <w:pPr>
              <w:keepLines/>
              <w:spacing w:after="60" w:before="0" w:line="240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32"/>
                <w:szCs w:val="32"/>
              </w:rPr>
              <w:t xml:space="preserve">Comunicação &amp; Conteúdo</w:t>
            </w:r>
          </w:p>
          <w:p>
            <w:pPr>
              <w:spacing w:after="0"/>
            </w:pP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Tempo: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15 min   ·   </w:t>
            </w: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Quem preenche: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Marketing / Social Media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fazer o diagnóstico nesta etapa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Objectivo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Dimensionar a produção de conteúdo (o que, quanto e onde) para orçamentar e planear a equipa criativa.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Fontes internas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Calendário editorial actual, estatísticas das redes, arquivo de fotos e vídeos.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Como levantar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No inventário, indique a quantidade mensal desejada de cada peça (deixe em branco o que não precisa). Para os pilares, pense no que o cliente quer aprender ou ver.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Evidências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Link para a pasta de conteúdos existentes (fotos, vídeos, artes).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6.1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Inventário de peças (quantidade mensal)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1100"/>
        <w:gridCol w:w="2600"/>
        <w:gridCol w:w="3038"/>
      </w:tblGrid>
      <w:tr>
        <w:trPr>
          <w:cantSplit/>
          <w:tblHeader/>
        </w:trPr>
        <w:tc>
          <w:tcPr>
            <w:tcW w:type="dxa" w:w="29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Tipo de peça</w:t>
            </w:r>
          </w:p>
        </w:tc>
        <w:tc>
          <w:tcPr>
            <w:tcW w:type="dxa" w:w="11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Qtd./mês</w:t>
            </w:r>
          </w:p>
        </w:tc>
        <w:tc>
          <w:tcPr>
            <w:tcW w:type="dxa" w:w="26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Plataforma / destino</w:t>
            </w:r>
          </w:p>
        </w:tc>
        <w:tc>
          <w:tcPr>
            <w:tcW w:type="dxa" w:w="30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Referência / observação</w:t>
            </w: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Posts estáticos (feed)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Carrosséis / sequências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Stories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Reels / vídeos curtos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Vídeos longos / YouTube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Vídeo de vendas (VSL)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Criativos para anúncios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Copywriting (textos)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Email marketing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Landing page / funil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</w:p>
        </w:tc>
      </w:tr>
      <w:tr>
        <w:trPr>
          <w:cantSplit/>
          <w:trHeight w:val="330" w:hRule="atLeast"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Outros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6.2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Frequência de publicação esperada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Diária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5x por semana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3x por semana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2x por semana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1x por semana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Só para campanhas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6.3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O cliente participa nas gravações?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Sim: é o rosto / a voz do conteúdo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Parcialmente: conteúdo misto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Não: conteúdo 100% produzido pela equipa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 definir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6.4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Temas / pilares de conteúdo (3 a 5)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Dicas de obra e remodelação · Novidades e promoções · Inspiração de decoração · Bastidores e equipa · Testemunhos de clientes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6.5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Links de conteúdo já produzido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Link do Google Drive / Dropbox com fotos de produtos, das lojas e vídeos.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2"/>
        <w:keepNext/>
        <w:pageBreakBefore/>
        <w:spacing w:after="0" w:before="0" w:line="20" w:lineRule="exact"/>
      </w:pPr>
      <w:r>
        <w:rPr>
          <w:rFonts w:ascii="Google Sans" w:cs="Google Sans" w:eastAsia="Google Sans" w:hAnsi="Google Sans"/>
          <w:color w:val="FFFFFF"/>
          <w:sz w:val="2"/>
          <w:szCs w:val="2"/>
        </w:rPr>
        <w:t xml:space="preserve">Etapa 07 · Tráfego Pago &amp; Funil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9DB2FF"/>
                <w:spacing w:val="40"/>
                <w:sz w:val="15"/>
                <w:szCs w:val="15"/>
              </w:rPr>
              <w:t xml:space="preserve">ETAPA</w:t>
            </w:r>
          </w:p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52"/>
                <w:szCs w:val="52"/>
              </w:rPr>
              <w:t xml:space="preserve">07</w:t>
            </w:r>
          </w:p>
        </w:tc>
        <w:tc>
          <w:tcPr>
            <w:tcW w:type="dxa" w:w="7938"/>
            <w:tcBorders>
              <w:top w:val="single" w:color="EEF1FB" w:sz="4"/>
              <w:left w:val="single" w:color="EEF1FB" w:sz="4"/>
              <w:bottom w:val="single" w:color="EEF1FB" w:sz="4"/>
              <w:right w:val="single" w:color="EEF1FB" w:sz="4"/>
            </w:tcBorders>
            <w:shd w:fill="EEF1FB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5"/>
                <w:szCs w:val="15"/>
              </w:rPr>
              <w:t xml:space="preserve">Marketing · Financeiro</w:t>
            </w:r>
          </w:p>
          <w:p>
            <w:pPr>
              <w:keepLines/>
              <w:spacing w:after="60" w:before="0" w:line="240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32"/>
                <w:szCs w:val="32"/>
              </w:rPr>
              <w:t xml:space="preserve">Tráfego Pago &amp; Funil</w:t>
            </w:r>
          </w:p>
          <w:p>
            <w:pPr>
              <w:spacing w:after="0"/>
            </w:pP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Tempo: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15 min   ·   </w:t>
            </w: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Quem preenche: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Marketing + Financeiro (orçamento)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fazer o diagnóstico nesta etapa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Objectivo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Conhecer o investimento disponível, o histórico de anúncios e o caminho que o cliente percorre até comprar.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Fontes internas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Gestor de Anúncios Meta / Google Ads (últimos 6 meses), despesas de publicidade, bases de contactos (WhatsApp, email).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Como levantar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Exporte do Gestor de Anúncios: investimento, resultados e custo por resultado. Conte os contactos de cada base. Desenhe o funil actual em setas, do primeiro contacto à compra.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Evidências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Relatório de anúncios dos últimos 6 meses (exportação em Excel/PDF).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7.1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Orçamento mensal para tráfego pago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Valor destinado só aos anúncios (sem honorários da agência).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50.000 MZN/mês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7.2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Plataformas para anunciar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Meta Ads (Facebook/Instagram)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Google Ads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TikTok Ads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YouTube Ads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 definir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7.3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Objectivo do tráfego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Geração de leads (captação)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Conversão directa em vendas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Reconhecimento de marca (topo de funil)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Tráfego para conteúdo / interacção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Retargeting de audiência quente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7.4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Pixel / tag de rastreio instalado?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Sim: Meta Pixel activo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Sim: Google Tag Manager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Não: será instalado pela equipa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Não sei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7.5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Histórico de anúncios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Nunca anunciou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Já anunciou: conta activa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Já anunciou: conta inactiva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Conta com restrições / bloqueada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7.6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CPA ou CPL máximo aceitável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Até 150 MZN por lead · até 1.500 MZN por venda.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7.7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Audiência / base própria existente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WhatsApp: 4.200 contactos · Email: 1.100 · Instagram: 12 mil seguidores · Facebook: 35 mil seguidores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7.8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Funil de vendas actual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Descreva o caminho em setas, do primeiro contacto à compra.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Anúncio no Facebook → mensagem no WhatsApp → orçamento enviado → visita à loja → compra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2"/>
        <w:keepNext/>
        <w:pageBreakBefore/>
        <w:spacing w:after="0" w:before="0" w:line="20" w:lineRule="exact"/>
      </w:pPr>
      <w:r>
        <w:rPr>
          <w:rFonts w:ascii="Google Sans" w:cs="Google Sans" w:eastAsia="Google Sans" w:hAnsi="Google Sans"/>
          <w:color w:val="FFFFFF"/>
          <w:sz w:val="2"/>
          <w:szCs w:val="2"/>
        </w:rPr>
        <w:t xml:space="preserve">Etapa 08 · Processo Comercial &amp; Vendas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9DB2FF"/>
                <w:spacing w:val="40"/>
                <w:sz w:val="15"/>
                <w:szCs w:val="15"/>
              </w:rPr>
              <w:t xml:space="preserve">ETAPA</w:t>
            </w:r>
          </w:p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52"/>
                <w:szCs w:val="52"/>
              </w:rPr>
              <w:t xml:space="preserve">08</w:t>
            </w:r>
          </w:p>
        </w:tc>
        <w:tc>
          <w:tcPr>
            <w:tcW w:type="dxa" w:w="7938"/>
            <w:tcBorders>
              <w:top w:val="single" w:color="EEF1FB" w:sz="4"/>
              <w:left w:val="single" w:color="EEF1FB" w:sz="4"/>
              <w:bottom w:val="single" w:color="EEF1FB" w:sz="4"/>
              <w:right w:val="single" w:color="EEF1FB" w:sz="4"/>
            </w:tcBorders>
            <w:shd w:fill="EEF1FB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5"/>
                <w:szCs w:val="15"/>
              </w:rPr>
              <w:t xml:space="preserve">Comercial · Lojas</w:t>
            </w:r>
          </w:p>
          <w:p>
            <w:pPr>
              <w:keepLines/>
              <w:spacing w:after="60" w:before="0" w:line="240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32"/>
                <w:szCs w:val="32"/>
              </w:rPr>
              <w:t xml:space="preserve">Processo Comercial &amp; Vendas</w:t>
            </w:r>
          </w:p>
          <w:p>
            <w:pPr>
              <w:spacing w:after="0"/>
            </w:pP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Tempo: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25 min   ·   </w:t>
            </w: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Quem preenche: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Direcção Comercial + Gerentes das lojas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fazer o diagnóstico nesta etapa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Objectivo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Mapear o processo real de recepção, encaminhamento e follow-up de clientes e o uso de métricas na gestão comercial.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Fontes internas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Relatórios de vendas, metas por loja e por vendedor, mapas de follow-up (CRM, Excel, WhatsApp).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Como levantar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Acompanhe um período de atendimento em cada loja. Calcule a conversão: vendas fechadas ÷ orçamentos (ou leads) do mês. Peça a cada gerente para mostrar onde regista os clientes que ainda não compraram.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Evidências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Metas e resultados do último mês · Exemplo de mapa de follow-up · Script de vendas (se existir).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Método de venda actual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Venda ao balcão na loja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Venda por WhatsApp / mensagens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Chamada telefónica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Visita / reunião com cliente (B2B)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Orçamentos por email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Loja online / checkout automático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Webinar / evento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Sem processo definido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Dimensão da equipa de vendas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Total de vendedores e atendedores nas lojas e no comercial.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1 a 5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6 a 10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11 a 20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Mais de 20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8.3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Metas do último mês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Meta: 13.000.000 MZN · Resultado: 11.200.000 MZN (86%)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FFFFFF"/>
          <w:sz w:val="14"/>
          <w:szCs w:val="14"/>
          <w:shd w:fill="2E5BE6" w:color="auto" w:val="clear"/>
        </w:rPr>
        <w:t xml:space="preserve">EVIDÊNCIA A ANEXAR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  Mapa de metas e resultados por loja.</w:t>
      </w:r>
    </w:p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Meta definida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Resultado alcançado</w:t>
            </w:r>
          </w:p>
        </w:tc>
      </w:tr>
      <w:tr>
        <w:trPr>
          <w:cantSplit/>
          <w:trHeight w:val="560" w:hRule="atLeast"/>
        </w:trPr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8.4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Taxa de conversão actual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Vendas fechadas ÷ orçamentos ou leads recebidos no mês × 100.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35% (140 vendas ÷ 400 orçamentos em Setembro). Se não for medida, escreva "não medida".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8.5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Follow-up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85 oportunidades · 40% dentro do prazo</w:t>
      </w:r>
    </w:p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Oportunidades em follow-up hoje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% com follow-up dentro do prazo</w:t>
            </w:r>
          </w:p>
        </w:tc>
      </w:tr>
      <w:tr>
        <w:trPr>
          <w:cantSplit/>
          <w:trHeight w:val="560" w:hRule="atLeast"/>
        </w:trPr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8.6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CRM / ferramenta de gestão de leads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FFFFFF"/>
          <w:sz w:val="14"/>
          <w:szCs w:val="14"/>
          <w:shd w:fill="2E5BE6" w:color="auto" w:val="clear"/>
        </w:rPr>
        <w:t xml:space="preserve">EVIDÊNCIA A ANEXAR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  Captura de ecrã ou exemplo do registo (sem dados pessoais).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Nenhuma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Caderno / papel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Excel / Google Sheets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WhatsApp Business (etiquetas)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CRM (indique qual)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Sistema de facturação</w:t>
            </w:r>
          </w:p>
        </w:tc>
      </w:tr>
    </w:tbl>
    <w:p>
      <w:pPr>
        <w:spacing w:after="0" w:before="60"/>
      </w:pP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Outro / detalhe: </w:t>
      </w: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________________________________________________</w:t>
      </w:r>
    </w:p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8.7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Jornada do cliente (do primeiro contacto à compra)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Descreva os passos reais, quem actua em cada um e onde fica registado.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1. Cliente envia mensagem no WhatsApp → 2. Recepção encaminha ao vendedor da loja → 3. Vendedor envia orçamento em 24h → 4. Liga 2 dias depois → 5. Cliente compra na loja.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98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8.8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Tempo do primeiro contacto com um novo lead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Menos de 1 hora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No mesmo dia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Até 24 horas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Até 48 horas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Sem prazo definido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8.9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Regista o motivo quando o cliente não compra?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Sim, sempre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Às vezes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Não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8.10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Script / argumentário de vendas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Existe e é usado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Existe mas não é usado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Não existe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8.11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Principal obstáculo no processo de vendas</w:t>
      </w:r>
      <w:r>
        <w:rPr>
          <w:rFonts w:ascii="Google Sans" w:cs="Google Sans" w:eastAsia="Google Sans" w:hAnsi="Google Sans"/>
          <w:b/>
          <w:bCs/>
          <w:color w:val="D63A3A"/>
          <w:sz w:val="18"/>
          <w:szCs w:val="18"/>
        </w:rPr>
        <w:t xml:space="preserve">  *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Os orçamentos enviados não são acompanhados e ninguém controla se o vendedor voltou a contactar o cliente.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2"/>
        <w:keepNext/>
        <w:pageBreakBefore/>
        <w:spacing w:after="0" w:before="0" w:line="20" w:lineRule="exact"/>
      </w:pPr>
      <w:r>
        <w:rPr>
          <w:rFonts w:ascii="Google Sans" w:cs="Google Sans" w:eastAsia="Google Sans" w:hAnsi="Google Sans"/>
          <w:color w:val="FFFFFF"/>
          <w:sz w:val="2"/>
          <w:szCs w:val="2"/>
        </w:rPr>
        <w:t xml:space="preserve">Etapa 09 · Tecnologia &amp; Sistemas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9DB2FF"/>
                <w:spacing w:val="40"/>
                <w:sz w:val="15"/>
                <w:szCs w:val="15"/>
              </w:rPr>
              <w:t xml:space="preserve">ETAPA</w:t>
            </w:r>
          </w:p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52"/>
                <w:szCs w:val="52"/>
              </w:rPr>
              <w:t xml:space="preserve">09</w:t>
            </w:r>
          </w:p>
        </w:tc>
        <w:tc>
          <w:tcPr>
            <w:tcW w:type="dxa" w:w="7938"/>
            <w:tcBorders>
              <w:top w:val="single" w:color="EEF1FB" w:sz="4"/>
              <w:left w:val="single" w:color="EEF1FB" w:sz="4"/>
              <w:bottom w:val="single" w:color="EEF1FB" w:sz="4"/>
              <w:right w:val="single" w:color="EEF1FB" w:sz="4"/>
            </w:tcBorders>
            <w:shd w:fill="EEF1FB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5"/>
                <w:szCs w:val="15"/>
              </w:rPr>
              <w:t xml:space="preserve">TI · Marketing</w:t>
            </w:r>
          </w:p>
          <w:p>
            <w:pPr>
              <w:keepLines/>
              <w:spacing w:after="60" w:before="0" w:line="240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32"/>
                <w:szCs w:val="32"/>
              </w:rPr>
              <w:t xml:space="preserve">Tecnologia &amp; Sistemas</w:t>
            </w:r>
          </w:p>
          <w:p>
            <w:pPr>
              <w:spacing w:after="0"/>
            </w:pP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Tempo: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10 min   ·   </w:t>
            </w: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Quem preenche: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TI / sistemas + Marketing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fazer o diagnóstico nesta etapa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Objectivo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Saber que ferramentas existem, o que precisa de ser criado e o que pode ser automatizado.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Fontes internas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Lista de sistemas (facturação/ERP, POS, website), contas de domínio e alojamento, acessos às redes.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Como levantar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Liste todos os sistemas e quem os administra. Confirme quem tem acesso ao domínio e ao alojamento.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Evidências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Lista de sistemas. </w:t>
            </w:r>
            <w:r>
              <w:rPr>
                <w:rFonts w:ascii="Google Sans" w:cs="Google Sans" w:eastAsia="Google Sans" w:hAnsi="Google Sans"/>
                <w:b/>
                <w:bCs/>
                <w:color w:val="1A1F36"/>
                <w:sz w:val="18"/>
                <w:szCs w:val="18"/>
              </w:rPr>
              <w:t xml:space="preserve">Atenção: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 palavras-passe nunca devem ser escritas neste documento; serão pedidas por canal seguro.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9.1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Necessita de desenvolvimento web?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Site institucional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E-commerce / loja online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Área de membros / portal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Automação / chatbot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Integrações / APIs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App móvel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Não necessita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9.2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Plataformas / ferramentas actuais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Facturação: Primavera · Site: WordPress · WhatsApp Business · Meta Business Suite · Email: Google Workspace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9.3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Acesso ao domínio e alojamento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Sim: acesso total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Parcial: precisa de apoio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Não tem domínio: será criado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9.4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Necessidades de automação de marketing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Resposta automática no WhatsApp; lembrete de orçamento 48h depois; catálogo digital partilhável.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2"/>
        <w:keepNext/>
        <w:pageBreakBefore/>
        <w:spacing w:after="0" w:before="0" w:line="20" w:lineRule="exact"/>
      </w:pPr>
      <w:r>
        <w:rPr>
          <w:rFonts w:ascii="Google Sans" w:cs="Google Sans" w:eastAsia="Google Sans" w:hAnsi="Google Sans"/>
          <w:color w:val="FFFFFF"/>
          <w:sz w:val="2"/>
          <w:szCs w:val="2"/>
        </w:rPr>
        <w:t xml:space="preserve">Etapa 10 · Aprovações, Contexto &amp; Materiais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9DB2FF"/>
                <w:spacing w:val="40"/>
                <w:sz w:val="15"/>
                <w:szCs w:val="15"/>
              </w:rPr>
              <w:t xml:space="preserve">ETAPA</w:t>
            </w:r>
          </w:p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</w:tc>
        <w:tc>
          <w:tcPr>
            <w:tcW w:type="dxa" w:w="7938"/>
            <w:tcBorders>
              <w:top w:val="single" w:color="EEF1FB" w:sz="4"/>
              <w:left w:val="single" w:color="EEF1FB" w:sz="4"/>
              <w:bottom w:val="single" w:color="EEF1FB" w:sz="4"/>
              <w:right w:val="single" w:color="EEF1FB" w:sz="4"/>
            </w:tcBorders>
            <w:shd w:fill="EEF1FB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5"/>
                <w:szCs w:val="15"/>
              </w:rPr>
              <w:t xml:space="preserve">Direcção-Geral</w:t>
            </w:r>
          </w:p>
          <w:p>
            <w:pPr>
              <w:keepLines/>
              <w:spacing w:after="60" w:before="0" w:line="240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32"/>
                <w:szCs w:val="32"/>
              </w:rPr>
              <w:t xml:space="preserve">Aprovações, Contexto &amp; Materiais</w:t>
            </w:r>
          </w:p>
          <w:p>
            <w:pPr>
              <w:spacing w:after="0"/>
            </w:pP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Tempo: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10 min   ·   </w:t>
            </w:r>
            <w:r>
              <w:rPr>
                <w:rFonts w:ascii="Google Sans" w:cs="Google Sans" w:eastAsia="Google Sans" w:hAnsi="Google Sans"/>
                <w:b/>
                <w:bCs/>
                <w:color w:val="5B6384"/>
                <w:sz w:val="17"/>
                <w:szCs w:val="17"/>
              </w:rPr>
              <w:t xml:space="preserve">Quem preenche: </w:t>
            </w:r>
            <w:r>
              <w:rPr>
                <w:rFonts w:ascii="Google Sans" w:cs="Google Sans" w:eastAsia="Google Sans" w:hAnsi="Google Sans"/>
                <w:color w:val="1A1F36"/>
                <w:sz w:val="17"/>
                <w:szCs w:val="17"/>
              </w:rPr>
              <w:t xml:space="preserve">Director-Geral (ponto focal)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fazer o diagnóstico nesta etapa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Objectivo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Definir como vamos trabalhar juntos: quem aprova, em quanto tempo e que materiais estão disponíveis.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Fontes internas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Experiência com fornecedores anteriores, regras internas de aprovação, arquivo de materiais da marca.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Como levantar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Defina uma só pessoa com poder de aprovação final. Partilhe todos os materiais numa única pasta com nomes claros.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Evidências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Link da pasta partilhada com os materiais.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10.1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Experiências anteriores com agências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O que funcionou e o que não funcionou.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Agência X (2024): bom design, mas sem relatórios de resultados nem cumprimento de prazos.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10.2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Restrições legais ou regulatórias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Não comunicar preços em anúncios; uso obrigatório do logótipo de marcas parceiras.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10.3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Processo de aprovação de materiais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Aprovação directa pelo cliente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Equipa de marketing interna aprova primeiro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Direcção aprova: processo mais lento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Aprovação automática (confiança total na equipa)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10.4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Responsável pela aprovação final</w:t>
      </w:r>
    </w:p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Nome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Cargo</w:t>
            </w:r>
          </w:p>
        </w:tc>
      </w:tr>
      <w:tr>
        <w:trPr>
          <w:cantSplit/>
          <w:trHeight w:val="560" w:hRule="atLeast"/>
        </w:trPr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10.5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Prazo médio para feedback / aprovação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uma opção)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Menos de 24 horas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1 a 2 dias úteis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3 a 5 dias úteis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○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Mais de 5 dias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10.6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Materiais a partilhar com a equipa</w:t>
      </w:r>
      <w:r>
        <w:rPr>
          <w:rFonts w:ascii="Google Sans" w:cs="Google Sans" w:eastAsia="Google Sans" w:hAnsi="Google Sans"/>
          <w:color w:val="5B6384"/>
          <w:sz w:val="15"/>
          <w:szCs w:val="15"/>
        </w:rPr>
        <w:t xml:space="preserve">   (seleccione todas as que se aplicam)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Como levantar: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Assinale o que vai partilhar e indique o link abaixo.</w:t>
      </w:r>
    </w:p>
    <w:p>
      <w:pPr>
        <w:keepNext/>
        <w:keepLines/>
        <w:spacing w:after="40" w:before="0" w:line="252"/>
        <w:ind w:left="4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Modelo aceite: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Link do Google Drive, Dropbox ou WeTransfer: https://…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Logótipo em alta resolução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Manual de marca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Fotos das lojas / produtos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Vídeos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Catálogo / tabela de preços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Relatórios de vendas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Organigrama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Relatório de anúncios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60"/>
              <w:bottom w:type="dxa" w:w="25"/>
              <w:right w:type="dxa" w:w="80"/>
            </w:tcMar>
            <w:vAlign w:val="top"/>
          </w:tcPr>
          <w:p>
            <w:pPr>
              <w:keepNext w:val="false"/>
              <w:spacing w:after="0" w:before="0" w:line="264"/>
              <w:ind w:left="300" w:hanging="300"/>
            </w:pPr>
            <w:r>
              <w:rPr>
                <w:rFonts w:ascii="Google Sans" w:cs="Google Sans" w:eastAsia="Google Sans" w:hAnsi="Google Sans"/>
                <w:color w:val="011169"/>
                <w:sz w:val="22"/>
                <w:szCs w:val="22"/>
              </w:rPr>
              <w:t xml:space="preserve">□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Outro</w:t>
            </w: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10.7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Link da pasta partilhada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10.8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Informação adicional relevante</w:t>
      </w:r>
    </w:p>
    <w:p>
      <w:pPr>
        <w:spacing w:after="0" w:before="0" w:line="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pageBreakBefore/>
        <w:spacing w:after="60"/>
      </w:pPr>
      <w:r>
        <w:rPr>
          <w:rFonts w:ascii="Google Sans" w:cs="Google Sans" w:eastAsia="Google Sans" w:hAnsi="Google Sans"/>
          <w:b/>
          <w:bCs/>
          <w:caps/>
          <w:color w:val="2E5BE6"/>
          <w:spacing w:val="40"/>
          <w:sz w:val="18"/>
          <w:szCs w:val="18"/>
        </w:rPr>
        <w:t xml:space="preserve">Parte B · RH &amp; Cultura</w:t>
      </w:r>
    </w:p>
    <w:p>
      <w:pPr>
        <w:pStyle w:val="Heading1"/>
        <w:keepNext/>
        <w:pBdr>
          <w:bottom w:val="single" w:color="011169" w:sz="12" w:space="6"/>
        </w:pBdr>
      </w:pPr>
      <w:r>
        <w:rPr>
          <w:rFonts w:ascii="Google Sans" w:cs="Google Sans" w:eastAsia="Google Sans" w:hAnsi="Google Sans"/>
        </w:rPr>
        <w:t xml:space="preserve">Parte B · Diagnóstico de Liderança</w:t>
      </w:r>
    </w:p>
    <w:p>
      <w:pPr>
        <w:keepLines/>
        <w:spacing w:after="160" w:before="0" w:line="276" w:lineRule="auto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Esta componente avalia os factores internos que podem influenciar a consistência do atendimento, a comunicação, o acompanhamento comercial e os resultados das três lojas. É conduzida por </w:t>
      </w: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Mirza Jamal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, especialista subcontratada pela Midia Pro em cultura organizacional, liderança, comunicação interna, atendimento, vendas e relacionamento com o cliente.</w:t>
      </w:r>
    </w:p>
    <w:p>
      <w:pPr>
        <w:keepLines/>
        <w:spacing w:after="200" w:before="0" w:line="276" w:lineRule="auto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As observações da reunião inicial são tratadas como </w:t>
      </w: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hipóteses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 e validadas com entrevistas, evidências, observação dos processos e comparação entre as unidades.</w:t>
      </w: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Objectivos do diagnóstico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Avaliar o alinhamento entre Direcção, liderança intermédia e equipas operacionais.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Identificar a clareza de papéis, responsabilidades, metas e mecanismos de responsabilização.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Compreender como a comunicação interna flui entre as lojas e as áreas Comercial, Marketing e RH.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Mapear o processo real de recepção, encaminhamento e follow-up de clientes e oportunidades.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Avaliar a utilização de métricas na gestão das equipas e na tomada de decisão.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Identificar gaps de liderança, cultura, comunicação e execução que afectem a experiência do cliente e os resultados.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Produzir recomendações para uma intervenção posterior de alinhamento e capacitação.</w:t>
      </w:r>
    </w:p>
    <w:p>
      <w:pPr>
        <w:spacing w:after="0" w:before="0" w:line="16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Metodologia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400"/>
        <w:gridCol w:w="5338"/>
      </w:tblGrid>
      <w:tr>
        <w:trPr>
          <w:cantSplit/>
          <w:tblHeader/>
        </w:trPr>
        <w:tc>
          <w:tcPr>
            <w:tcW w:type="dxa" w:w="9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34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53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Entrevistas individuais</w:t>
            </w:r>
          </w:p>
        </w:tc>
        <w:tc>
          <w:tcPr>
            <w:tcW w:type="dxa" w:w="5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Percepções, práticas e responsabilidades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Recolha de evidências</w:t>
            </w:r>
          </w:p>
        </w:tc>
        <w:tc>
          <w:tcPr>
            <w:tcW w:type="dxa" w:w="5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Metas, relatórios, mapas de follow-up, CRM/Excel/WhatsApp ou outros registos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Observação das lojas e processos</w:t>
            </w:r>
          </w:p>
        </w:tc>
        <w:tc>
          <w:tcPr>
            <w:tcW w:type="dxa" w:w="5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Diferenças de comunicação, atendimento e execução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Cruzamento de informação</w:t>
            </w:r>
          </w:p>
        </w:tc>
        <w:tc>
          <w:tcPr>
            <w:tcW w:type="dxa" w:w="5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Convergências, discrepâncias e gaps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Relatório consolidado</w:t>
            </w:r>
          </w:p>
        </w:tc>
        <w:tc>
          <w:tcPr>
            <w:tcW w:type="dxa" w:w="53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Prioridades, riscos e recomendações</w:t>
            </w:r>
          </w:p>
        </w:tc>
      </w:tr>
    </w:tbl>
    <w:p>
      <w:pPr>
        <w:spacing w:after="0" w:before="0" w:line="2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Como conduzir o diagnóstico de liderança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Quem responde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Director-Geral, RH, responsáveis comerciais e lideranças das três lojas. </w:t>
            </w:r>
            <w:r>
              <w:rPr>
                <w:rFonts w:ascii="Google Sans" w:cs="Google Sans" w:eastAsia="Google Sans" w:hAnsi="Google Sans"/>
                <w:b/>
                <w:bCs/>
                <w:color w:val="1A1F36"/>
                <w:sz w:val="18"/>
                <w:szCs w:val="18"/>
              </w:rPr>
              <w:t xml:space="preserve">Um instrumento por pessoa.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Formato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Entrevista individual de 45 a 60 minutos, em local reservado. O instrumento pode ser enviado antes, mas as respostas são confirmadas na entrevista.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Preparação do líder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Trazer as metas e o resultado do último mês, o relatório de acompanhamento da equipa e o registo de follow-up que usa.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Durante a entrevista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Pedir exemplos concretos e pedir para </w:t>
            </w:r>
            <w:r>
              <w:rPr>
                <w:rFonts w:ascii="Google Sans" w:cs="Google Sans" w:eastAsia="Google Sans" w:hAnsi="Google Sans"/>
                <w:b/>
                <w:bCs/>
                <w:color w:val="1A1F36"/>
                <w:sz w:val="18"/>
                <w:szCs w:val="18"/>
              </w:rPr>
              <w:t xml:space="preserve">mostrar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 os registos ("mostre-me como acompanha os clientes que ainda não compraram").</w:t>
            </w:r>
          </w:p>
          <w:p>
            <w:pPr>
              <w:keepLines/>
              <w:spacing w:after="50" w:before="0" w:line="252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Depois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Registar as evidências vistas e as discrepâncias no quadro do entrevistador (B9). Consolidar por dimensão na matriz da Parte C.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180"/>
              <w:left w:type="dxa" w:w="280"/>
              <w:bottom w:type="dxa" w:w="180"/>
              <w:right w:type="dxa" w:w="200"/>
            </w:tcMar>
            <w:vAlign w:val="top"/>
          </w:tcPr>
          <w:p>
            <w:pPr>
              <w:keepLines/>
              <w:spacing w:after="4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8"/>
                <w:szCs w:val="28"/>
              </w:rPr>
              <w:t xml:space="preserve">Instrumento individual de diagnóstico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9DB2FF"/>
                <w:sz w:val="17"/>
                <w:szCs w:val="17"/>
              </w:rPr>
              <w:t xml:space="preserve">Preencher um exemplar por líder · Respostas confidenciais, consolidadas por dimensão</w:t>
            </w:r>
          </w:p>
        </w:tc>
      </w:tr>
    </w:tbl>
    <w:p>
      <w:pPr>
        <w:spacing w:after="0" w:before="0" w:line="120" w:lineRule="exact"/>
      </w:pPr>
    </w:p>
    <w:p>
      <w:pPr>
        <w:spacing w:after="120"/>
      </w:pP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Respondente nº </w:t>
      </w: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________</w:t>
      </w: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     Data da entrevista </w:t>
      </w: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________________</w:t>
      </w: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     Entrevistador(a) </w:t>
      </w: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___________________________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B1 · Identificação</w:t>
      </w:r>
    </w:p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B1.1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Cargo e área / loja</w:t>
      </w:r>
    </w:p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Cargo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Área / Loja</w:t>
            </w:r>
          </w:p>
        </w:tc>
      </w:tr>
      <w:tr>
        <w:trPr>
          <w:cantSplit/>
          <w:trHeight w:val="560" w:hRule="atLeast"/>
        </w:trPr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spacing w:after="30" w:before="13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B1.2   </w:t>
      </w:r>
      <w:r>
        <w:rPr>
          <w:rFonts w:ascii="Google Sans" w:cs="Google Sans" w:eastAsia="Google Sans" w:hAnsi="Google Sans"/>
          <w:b/>
          <w:bCs/>
          <w:caps/>
          <w:color w:val="011169"/>
          <w:spacing w:val="10"/>
          <w:sz w:val="18"/>
          <w:szCs w:val="18"/>
        </w:rPr>
        <w:t xml:space="preserve">Experiência e equipa</w:t>
      </w:r>
    </w:p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Tempo na empresa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5B6384"/>
                <w:sz w:val="15"/>
                <w:szCs w:val="15"/>
              </w:rPr>
              <w:t xml:space="preserve">Nº de colaboradores sob a sua responsabilidade</w:t>
            </w:r>
          </w:p>
        </w:tc>
      </w:tr>
      <w:tr>
        <w:trPr>
          <w:cantSplit/>
          <w:trHeight w:val="560" w:hRule="atLeast"/>
        </w:trPr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0" w:before="0" w:line="160" w:lineRule="exact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B2 · Liderança e gestão da equipa</w:t>
      </w:r>
    </w:p>
    <w:p>
      <w:pPr>
        <w:keepLines/>
        <w:spacing w:after="100" w:before="0" w:line="276" w:lineRule="auto"/>
      </w:pPr>
      <w:r>
        <w:rPr>
          <w:rFonts w:ascii="Google Sans" w:cs="Google Sans" w:eastAsia="Google Sans" w:hAnsi="Google Sans"/>
          <w:color w:val="5B6384"/>
          <w:sz w:val="17"/>
          <w:szCs w:val="17"/>
        </w:rPr>
        <w:t xml:space="preserve">Assinale de 1 a 5 o grau em que cada afirmação descreve a realidade actual da sua equipa.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38"/>
        <w:gridCol w:w="760"/>
        <w:gridCol w:w="760"/>
        <w:gridCol w:w="760"/>
        <w:gridCol w:w="760"/>
        <w:gridCol w:w="760"/>
      </w:tblGrid>
      <w:tr>
        <w:trPr>
          <w:cantSplit/>
          <w:tblHeader/>
        </w:trPr>
        <w:tc>
          <w:tcPr>
            <w:tcW w:type="dxa" w:w="58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Afirmação</w:t>
            </w:r>
          </w:p>
        </w:tc>
        <w:tc>
          <w:tcPr>
            <w:tcW w:type="dxa" w:w="76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Google Sans" w:cs="Google Sans" w:eastAsia="Google Sans" w:hAnsi="Google Sans"/>
                <w:color w:val="9DB2FF"/>
                <w:sz w:val="12"/>
                <w:szCs w:val="12"/>
              </w:rPr>
              <w:t xml:space="preserve">Muito fraco</w:t>
            </w:r>
          </w:p>
        </w:tc>
        <w:tc>
          <w:tcPr>
            <w:tcW w:type="dxa" w:w="76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Google Sans" w:cs="Google Sans" w:eastAsia="Google Sans" w:hAnsi="Google Sans"/>
                <w:color w:val="9DB2FF"/>
                <w:sz w:val="12"/>
                <w:szCs w:val="12"/>
              </w:rPr>
              <w:t xml:space="preserve">Fraco</w:t>
            </w:r>
          </w:p>
        </w:tc>
        <w:tc>
          <w:tcPr>
            <w:tcW w:type="dxa" w:w="76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Google Sans" w:cs="Google Sans" w:eastAsia="Google Sans" w:hAnsi="Google Sans"/>
                <w:color w:val="9DB2FF"/>
                <w:sz w:val="12"/>
                <w:szCs w:val="12"/>
              </w:rPr>
              <w:t xml:space="preserve">Razoável</w:t>
            </w:r>
          </w:p>
        </w:tc>
        <w:tc>
          <w:tcPr>
            <w:tcW w:type="dxa" w:w="76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Google Sans" w:cs="Google Sans" w:eastAsia="Google Sans" w:hAnsi="Google Sans"/>
                <w:color w:val="9DB2FF"/>
                <w:sz w:val="12"/>
                <w:szCs w:val="12"/>
              </w:rPr>
              <w:t xml:space="preserve">Bom</w:t>
            </w:r>
          </w:p>
        </w:tc>
        <w:tc>
          <w:tcPr>
            <w:tcW w:type="dxa" w:w="76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Google Sans" w:cs="Google Sans" w:eastAsia="Google Sans" w:hAnsi="Google Sans"/>
                <w:color w:val="9DB2FF"/>
                <w:sz w:val="12"/>
                <w:szCs w:val="12"/>
              </w:rPr>
              <w:t xml:space="preserve">Excelente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B2.1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 equipa conhece claramente as suas metas.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B2.2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Cada colaborador sabe exactamente o que se espera dele.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B2.3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Existe acompanhamento regular do desempenho da equipa.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B2.4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Os colaboradores recebem feedback sobre o seu desempenho.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B2.5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As dificuldades de desempenho são identificadas e tratadas atempadamente.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B2.6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 equipa sente-se confortável para comunicar problemas e propor soluções.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B2.7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As decisões tomadas pela liderança são efectivamente implementadas.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B2.8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Existe responsabilização quando tarefas ou follow-ups não são executados.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</w:tbl>
    <w:p>
      <w:pPr>
        <w:spacing w:after="0" w:before="0" w:line="160" w:lineRule="exact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B3 · Comunicação interna e alinhamento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38"/>
        <w:gridCol w:w="760"/>
        <w:gridCol w:w="760"/>
        <w:gridCol w:w="760"/>
        <w:gridCol w:w="760"/>
        <w:gridCol w:w="760"/>
      </w:tblGrid>
      <w:tr>
        <w:trPr>
          <w:cantSplit/>
          <w:tblHeader/>
        </w:trPr>
        <w:tc>
          <w:tcPr>
            <w:tcW w:type="dxa" w:w="58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Afirmação</w:t>
            </w:r>
          </w:p>
        </w:tc>
        <w:tc>
          <w:tcPr>
            <w:tcW w:type="dxa" w:w="76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Google Sans" w:cs="Google Sans" w:eastAsia="Google Sans" w:hAnsi="Google Sans"/>
                <w:color w:val="9DB2FF"/>
                <w:sz w:val="12"/>
                <w:szCs w:val="12"/>
              </w:rPr>
              <w:t xml:space="preserve">Muito fraco</w:t>
            </w:r>
          </w:p>
        </w:tc>
        <w:tc>
          <w:tcPr>
            <w:tcW w:type="dxa" w:w="76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Google Sans" w:cs="Google Sans" w:eastAsia="Google Sans" w:hAnsi="Google Sans"/>
                <w:color w:val="9DB2FF"/>
                <w:sz w:val="12"/>
                <w:szCs w:val="12"/>
              </w:rPr>
              <w:t xml:space="preserve">Fraco</w:t>
            </w:r>
          </w:p>
        </w:tc>
        <w:tc>
          <w:tcPr>
            <w:tcW w:type="dxa" w:w="76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Google Sans" w:cs="Google Sans" w:eastAsia="Google Sans" w:hAnsi="Google Sans"/>
                <w:color w:val="9DB2FF"/>
                <w:sz w:val="12"/>
                <w:szCs w:val="12"/>
              </w:rPr>
              <w:t xml:space="preserve">Razoável</w:t>
            </w:r>
          </w:p>
        </w:tc>
        <w:tc>
          <w:tcPr>
            <w:tcW w:type="dxa" w:w="76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Google Sans" w:cs="Google Sans" w:eastAsia="Google Sans" w:hAnsi="Google Sans"/>
                <w:color w:val="9DB2FF"/>
                <w:sz w:val="12"/>
                <w:szCs w:val="12"/>
              </w:rPr>
              <w:t xml:space="preserve">Bom</w:t>
            </w:r>
          </w:p>
        </w:tc>
        <w:tc>
          <w:tcPr>
            <w:tcW w:type="dxa" w:w="76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Google Sans" w:cs="Google Sans" w:eastAsia="Google Sans" w:hAnsi="Google Sans"/>
                <w:color w:val="9DB2FF"/>
                <w:sz w:val="12"/>
                <w:szCs w:val="12"/>
              </w:rPr>
              <w:t xml:space="preserve">Excelente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B3.1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 comunicação entre Direcção e liderança é clara.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B3.2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 comunicação entre liderança e colaboradores é consistente.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B3.3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As três lojas recebem orientações institucionais consistentes.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B3.4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Comercial, Marketing, RH e lojas trabalham de forma coordenada.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B3.5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As informações importantes chegam às equipas atempadamente.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B3.6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Existem canais claros para comunicar problemas e decisões.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Google Sans" w:cs="Google Sans" w:eastAsia="Google Sans" w:hAnsi="Google Sans"/>
                <w:b/>
                <w:bCs/>
                <w:color w:val="2E5BE6"/>
                <w:sz w:val="18"/>
                <w:szCs w:val="18"/>
              </w:rPr>
              <w:t xml:space="preserve">B3.7  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Os colaboradores compreendem as prioridades comerciais da empresa.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  <w:tc>
          <w:tcPr>
            <w:tcW w:type="dxa" w:w="76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color w:val="011169"/>
                <w:sz w:val="24"/>
                <w:szCs w:val="24"/>
              </w:rPr>
              <w:t xml:space="preserve">○</w:t>
            </w: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B3.8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Onde considera que ocorre actualmente a maior falha de comunicação interna?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0" w:before="0" w:line="120" w:lineRule="exact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B4 · Gestão comercial e métricas</w:t>
      </w:r>
    </w:p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B4.1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Quais são os cinco principais indicadores que utiliza para gerir a sua equipa?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B4.2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Qual era a meta da sua área no último mês e qual foi o resultado alcançado?</w:t>
      </w:r>
    </w:p>
    <w:p>
      <w:pPr>
        <w:keepNext/>
        <w:spacing w:after="60" w:before="0"/>
        <w:ind w:left="5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Dica para o entrevistador: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pedir para ver o relatório.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B4.3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Qual é a taxa de conversão de clientes/leads em vendas?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B4.4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Quantos clientes/oportunidades estão actualmente em follow-up?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B4.5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Que percentagem recebe follow-up dentro do prazo definido?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B4.6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Quando os dados não estão disponíveis, como avalia o desempenho da sua equipa?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0" w:before="0" w:line="120" w:lineRule="exact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B5 · Jornada do cliente e follow-up</w:t>
      </w:r>
    </w:p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B5.1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Descreva o percurso de um cliente desde o primeiro contacto até à conclusão da compra.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98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B5.2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Quem recebe o lead ou contacto do cliente?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B5.3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Quem é responsável pelo primeiro contacto e em quanto tempo deve fazê-lo?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B5.4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Onde ficam registados os contactos, propostas e follow-ups?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B5.5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Quem verifica se o follow-up foi efectivamente realizado?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B5.6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O que acontece quando o follow-up não é realizado?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B5.7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Quando o cliente não compra, é registado o motivo? Como?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B5.8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Mostre, por favor, como acompanha actualmente os clientes que ainda não compraram.</w:t>
      </w:r>
    </w:p>
    <w:p>
      <w:pPr>
        <w:keepNext/>
        <w:spacing w:after="60" w:before="0"/>
        <w:ind w:left="520"/>
      </w:pPr>
      <w:r>
        <w:rPr>
          <w:rFonts w:ascii="Google Sans" w:cs="Google Sans" w:eastAsia="Google Sans" w:hAnsi="Google Sans"/>
          <w:b/>
          <w:bCs/>
          <w:color w:val="5B6384"/>
          <w:sz w:val="16"/>
          <w:szCs w:val="16"/>
        </w:rPr>
        <w:t xml:space="preserve">Dica para o entrevistador: </w:t>
      </w:r>
      <w:r>
        <w:rPr>
          <w:rFonts w:ascii="Google Sans" w:cs="Google Sans" w:eastAsia="Google Sans" w:hAnsi="Google Sans"/>
          <w:color w:val="5B6384"/>
          <w:sz w:val="16"/>
          <w:szCs w:val="16"/>
        </w:rPr>
        <w:t xml:space="preserve">registar o que foi efectivamente mostrado (ferramenta, actualização, responsável).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0" w:before="0" w:line="120" w:lineRule="exact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B6 · Cultura e responsabilização</w:t>
      </w:r>
    </w:p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B6.1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Quando uma meta não é atingida, qual é normalmente a primeira pergunta feita pela liderança?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B6.2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Quais considera serem as três principais causas da actual redução das vendas?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B6.3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Qual é a responsabilidade da liderança perante estes resultados?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B6.4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Qual é a responsabilidade dos colaboradores?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B6.5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Que mudança deveria começar por…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  <w:trHeight w:val="700" w:hRule="atLeast"/>
        </w:trPr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…pela Direcção</w:t>
            </w:r>
          </w:p>
        </w:tc>
        <w:tc>
          <w:tcPr>
            <w:tcW w:type="dxa" w:w="7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…pelas lideranças intermédias</w:t>
            </w:r>
          </w:p>
        </w:tc>
        <w:tc>
          <w:tcPr>
            <w:tcW w:type="dxa" w:w="7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EE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…pelos colaboradores</w:t>
            </w:r>
          </w:p>
        </w:tc>
        <w:tc>
          <w:tcPr>
            <w:tcW w:type="dxa" w:w="7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/>
            </w:pPr>
          </w:p>
        </w:tc>
      </w:tr>
    </w:tbl>
    <w:p>
      <w:pPr>
        <w:spacing w:after="0" w:before="0" w:line="120" w:lineRule="exact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B7 · Abertura à mudança</w:t>
      </w:r>
    </w:p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B7.1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Nos últimos 12 meses, que mudança foi implementada na sua equipa e que resultados produziu?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B7.2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Quando recebe uma recomendação com a qual não concorda, como procede?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B7.3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Que mudança considera mais urgente na empresa?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B7.4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Que mudança considera menos prioritária neste momento? Porquê?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46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tabs>
          <w:tab w:val="left" w:pos="520"/>
        </w:tabs>
        <w:spacing w:after="8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B7.5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De 0 a 10, qual é a sua disponibilidade para alterar processos da sua área se os dados demonstrarem que o modelo actual não está a funcionar? (assinale)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>
        <w:trPr>
          <w:cantSplit/>
          <w:trHeight w:val="480" w:hRule="atLeast"/>
        </w:trPr>
        <w:tc>
          <w:tcPr>
            <w:tcW w:type="dxa" w:w="876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0</w:t>
            </w:r>
          </w:p>
        </w:tc>
        <w:tc>
          <w:tcPr>
            <w:tcW w:type="dxa" w:w="876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1</w:t>
            </w:r>
          </w:p>
        </w:tc>
        <w:tc>
          <w:tcPr>
            <w:tcW w:type="dxa" w:w="876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2</w:t>
            </w:r>
          </w:p>
        </w:tc>
        <w:tc>
          <w:tcPr>
            <w:tcW w:type="dxa" w:w="876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3</w:t>
            </w:r>
          </w:p>
        </w:tc>
        <w:tc>
          <w:tcPr>
            <w:tcW w:type="dxa" w:w="876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4</w:t>
            </w:r>
          </w:p>
        </w:tc>
        <w:tc>
          <w:tcPr>
            <w:tcW w:type="dxa" w:w="876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5</w:t>
            </w:r>
          </w:p>
        </w:tc>
        <w:tc>
          <w:tcPr>
            <w:tcW w:type="dxa" w:w="876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6</w:t>
            </w:r>
          </w:p>
        </w:tc>
        <w:tc>
          <w:tcPr>
            <w:tcW w:type="dxa" w:w="876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7</w:t>
            </w:r>
          </w:p>
        </w:tc>
        <w:tc>
          <w:tcPr>
            <w:tcW w:type="dxa" w:w="876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8</w:t>
            </w:r>
          </w:p>
        </w:tc>
        <w:tc>
          <w:tcPr>
            <w:tcW w:type="dxa" w:w="876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9</w:t>
            </w:r>
          </w:p>
        </w:tc>
        <w:tc>
          <w:tcPr>
            <w:tcW w:type="dxa" w:w="87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20"/>
                <w:szCs w:val="20"/>
              </w:rPr>
              <w:t xml:space="preserve">10</w:t>
            </w:r>
          </w:p>
        </w:tc>
      </w:tr>
    </w:tbl>
    <w:p>
      <w:pPr>
        <w:spacing w:after="0" w:before="0" w:line="120" w:lineRule="exact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B8 · Desafio dos 90 dias</w:t>
      </w:r>
    </w:p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B8.1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Se amanhã assumisse a Direcção-Geral e tivesse 90 dias para melhorar os resultados, quais seriam as suas três primeiras decisões?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98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keepLines/>
        <w:tabs>
          <w:tab w:val="left" w:pos="520"/>
        </w:tabs>
        <w:spacing w:after="60" w:before="160"/>
        <w:ind w:left="520" w:hanging="520"/>
      </w:pPr>
      <w:r>
        <w:rPr>
          <w:rFonts w:ascii="Google Sans" w:cs="Google Sans" w:eastAsia="Google Sans" w:hAnsi="Google Sans"/>
          <w:b/>
          <w:bCs/>
          <w:color w:val="2E5BE6"/>
          <w:sz w:val="18"/>
          <w:szCs w:val="18"/>
        </w:rPr>
        <w:t xml:space="preserve">B8.2	</w:t>
      </w:r>
      <w:r>
        <w:rPr>
          <w:rFonts w:ascii="Google Sans" w:cs="Google Sans" w:eastAsia="Google Sans" w:hAnsi="Google Sans"/>
          <w:color w:val="1A1F36"/>
          <w:sz w:val="19"/>
          <w:szCs w:val="19"/>
        </w:rPr>
        <w:t xml:space="preserve">Dessas três decisões, qual pode começar a implementar hoje, na função que já ocupa?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  <w:trHeight w:val="720" w:hRule="atLeast"/>
        </w:trPr>
        <w:tc>
          <w:tcPr>
            <w:tcW w:type="dxa" w:w="96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0" w:before="0" w:line="200" w:lineRule="exact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B9 · Quadro do entrevistador (uso Midia Pro)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11169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011169"/>
                <w:spacing w:val="30"/>
                <w:sz w:val="17"/>
                <w:szCs w:val="17"/>
              </w:rPr>
              <w:t xml:space="preserve">Evidências vistas durante a entrevista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212"/>
              <w:gridCol w:w="3212"/>
              <w:gridCol w:w="3214"/>
            </w:tblGrid>
            <w:tr>
              <w:trPr>
                <w:cantSplit/>
              </w:trPr>
              <w:tc>
                <w:tcPr>
                  <w:tcW w:type="dxa" w:w="32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60"/>
                    <w:bottom w:type="dxa" w:w="25"/>
                    <w:right w:type="dxa" w:w="80"/>
                  </w:tcMar>
                  <w:vAlign w:val="top"/>
                </w:tcPr>
                <w:p>
                  <w:pPr>
                    <w:keepNext/>
                    <w:spacing w:after="0" w:before="0" w:line="264"/>
                    <w:ind w:left="300" w:hanging="300"/>
                  </w:pPr>
                  <w:r>
                    <w:rPr>
                      <w:rFonts w:ascii="Google Sans" w:cs="Google Sans" w:eastAsia="Google Sans" w:hAnsi="Google Sans"/>
                      <w:color w:val="011169"/>
                      <w:sz w:val="22"/>
                      <w:szCs w:val="22"/>
                    </w:rPr>
                    <w:t xml:space="preserve">□  </w:t>
                  </w:r>
                  <w:r>
                    <w:rPr>
                      <w:rFonts w:ascii="Google Sans" w:cs="Google Sans" w:eastAsia="Google Sans" w:hAnsi="Google Sans"/>
                      <w:color w:val="1A1F36"/>
                      <w:sz w:val="18"/>
                      <w:szCs w:val="18"/>
                    </w:rPr>
                    <w:t xml:space="preserve">Metas da equipa</w:t>
                  </w:r>
                </w:p>
              </w:tc>
              <w:tc>
                <w:tcPr>
                  <w:tcW w:type="dxa" w:w="32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60"/>
                    <w:bottom w:type="dxa" w:w="25"/>
                    <w:right w:type="dxa" w:w="80"/>
                  </w:tcMar>
                  <w:vAlign w:val="top"/>
                </w:tcPr>
                <w:p>
                  <w:pPr>
                    <w:keepNext/>
                    <w:spacing w:after="0" w:before="0" w:line="264"/>
                    <w:ind w:left="300" w:hanging="300"/>
                  </w:pPr>
                  <w:r>
                    <w:rPr>
                      <w:rFonts w:ascii="Google Sans" w:cs="Google Sans" w:eastAsia="Google Sans" w:hAnsi="Google Sans"/>
                      <w:color w:val="011169"/>
                      <w:sz w:val="22"/>
                      <w:szCs w:val="22"/>
                    </w:rPr>
                    <w:t xml:space="preserve">□  </w:t>
                  </w:r>
                  <w:r>
                    <w:rPr>
                      <w:rFonts w:ascii="Google Sans" w:cs="Google Sans" w:eastAsia="Google Sans" w:hAnsi="Google Sans"/>
                      <w:color w:val="1A1F36"/>
                      <w:sz w:val="18"/>
                      <w:szCs w:val="18"/>
                    </w:rPr>
                    <w:t xml:space="preserve">Relatório de resultados</w:t>
                  </w:r>
                </w:p>
              </w:tc>
              <w:tc>
                <w:tcPr>
                  <w:tcW w:type="dxa" w:w="321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60"/>
                    <w:bottom w:type="dxa" w:w="25"/>
                    <w:right w:type="dxa" w:w="80"/>
                  </w:tcMar>
                  <w:vAlign w:val="top"/>
                </w:tcPr>
                <w:p>
                  <w:pPr>
                    <w:keepNext/>
                    <w:spacing w:after="0" w:before="0" w:line="264"/>
                    <w:ind w:left="300" w:hanging="300"/>
                  </w:pPr>
                  <w:r>
                    <w:rPr>
                      <w:rFonts w:ascii="Google Sans" w:cs="Google Sans" w:eastAsia="Google Sans" w:hAnsi="Google Sans"/>
                      <w:color w:val="011169"/>
                      <w:sz w:val="22"/>
                      <w:szCs w:val="22"/>
                    </w:rPr>
                    <w:t xml:space="preserve">□  </w:t>
                  </w:r>
                  <w:r>
                    <w:rPr>
                      <w:rFonts w:ascii="Google Sans" w:cs="Google Sans" w:eastAsia="Google Sans" w:hAnsi="Google Sans"/>
                      <w:color w:val="1A1F36"/>
                      <w:sz w:val="18"/>
                      <w:szCs w:val="18"/>
                    </w:rPr>
                    <w:t xml:space="preserve">Mapa de follow-up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60"/>
                    <w:bottom w:type="dxa" w:w="25"/>
                    <w:right w:type="dxa" w:w="80"/>
                  </w:tcMar>
                  <w:vAlign w:val="top"/>
                </w:tcPr>
                <w:p>
                  <w:pPr>
                    <w:keepNext w:val="false"/>
                    <w:spacing w:after="0" w:before="0" w:line="264"/>
                    <w:ind w:left="300" w:hanging="300"/>
                  </w:pPr>
                  <w:r>
                    <w:rPr>
                      <w:rFonts w:ascii="Google Sans" w:cs="Google Sans" w:eastAsia="Google Sans" w:hAnsi="Google Sans"/>
                      <w:color w:val="011169"/>
                      <w:sz w:val="22"/>
                      <w:szCs w:val="22"/>
                    </w:rPr>
                    <w:t xml:space="preserve">□  </w:t>
                  </w:r>
                  <w:r>
                    <w:rPr>
                      <w:rFonts w:ascii="Google Sans" w:cs="Google Sans" w:eastAsia="Google Sans" w:hAnsi="Google Sans"/>
                      <w:color w:val="1A1F36"/>
                      <w:sz w:val="18"/>
                      <w:szCs w:val="18"/>
                    </w:rPr>
                    <w:t xml:space="preserve">CRM / Excel / WhatsApp</w:t>
                  </w:r>
                </w:p>
              </w:tc>
              <w:tc>
                <w:tcPr>
                  <w:tcW w:type="dxa" w:w="32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60"/>
                    <w:bottom w:type="dxa" w:w="25"/>
                    <w:right w:type="dxa" w:w="80"/>
                  </w:tcMar>
                  <w:vAlign w:val="top"/>
                </w:tcPr>
                <w:p>
                  <w:pPr>
                    <w:keepNext w:val="false"/>
                    <w:spacing w:after="0" w:before="0" w:line="264"/>
                    <w:ind w:left="300" w:hanging="300"/>
                  </w:pPr>
                  <w:r>
                    <w:rPr>
                      <w:rFonts w:ascii="Google Sans" w:cs="Google Sans" w:eastAsia="Google Sans" w:hAnsi="Google Sans"/>
                      <w:color w:val="011169"/>
                      <w:sz w:val="22"/>
                      <w:szCs w:val="22"/>
                    </w:rPr>
                    <w:t xml:space="preserve">□  </w:t>
                  </w:r>
                  <w:r>
                    <w:rPr>
                      <w:rFonts w:ascii="Google Sans" w:cs="Google Sans" w:eastAsia="Google Sans" w:hAnsi="Google Sans"/>
                      <w:color w:val="1A1F36"/>
                      <w:sz w:val="18"/>
                      <w:szCs w:val="18"/>
                    </w:rPr>
                    <w:t xml:space="preserve">Script de vendas</w:t>
                  </w:r>
                </w:p>
              </w:tc>
              <w:tc>
                <w:tcPr>
                  <w:tcW w:type="dxa" w:w="321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60"/>
                    <w:bottom w:type="dxa" w:w="25"/>
                    <w:right w:type="dxa" w:w="80"/>
                  </w:tcMar>
                  <w:vAlign w:val="top"/>
                </w:tcPr>
                <w:p>
                  <w:pPr>
                    <w:keepNext w:val="false"/>
                    <w:spacing w:after="0" w:before="0" w:line="264"/>
                    <w:ind w:left="300" w:hanging="300"/>
                  </w:pPr>
                  <w:r>
                    <w:rPr>
                      <w:rFonts w:ascii="Google Sans" w:cs="Google Sans" w:eastAsia="Google Sans" w:hAnsi="Google Sans"/>
                      <w:color w:val="011169"/>
                      <w:sz w:val="22"/>
                      <w:szCs w:val="22"/>
                    </w:rPr>
                    <w:t xml:space="preserve">□  </w:t>
                  </w:r>
                  <w:r>
                    <w:rPr>
                      <w:rFonts w:ascii="Google Sans" w:cs="Google Sans" w:eastAsia="Google Sans" w:hAnsi="Google Sans"/>
                      <w:color w:val="1A1F36"/>
                      <w:sz w:val="18"/>
                      <w:szCs w:val="18"/>
                    </w:rPr>
                    <w:t xml:space="preserve">Nenhuma evidência</w:t>
                  </w:r>
                </w:p>
              </w:tc>
            </w:tr>
          </w:tbl>
          <w:p>
            <w:pPr>
              <w:keepLines/>
              <w:spacing w:after="60" w:before="14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7"/>
                <w:szCs w:val="17"/>
              </w:rPr>
              <w:t xml:space="preserve">Discrepâncias entre percepção e prática:</w:t>
            </w:r>
          </w:p>
          <w:tbl>
            <w:tblPr>
              <w:tblW w:type="dxa" w:w="919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198"/>
            </w:tblGrid>
            <w:tr>
              <w:trPr>
                <w:cantSplit/>
                <w:trHeight w:val="720" w:hRule="atLeast"/>
              </w:trPr>
              <w:tc>
                <w:tcPr>
                  <w:tcW w:type="dxa" w:w="9198"/>
                  <w:tcBorders>
                    <w:top w:val="single" w:color="C9D0EA" w:sz="4"/>
                    <w:left w:val="single" w:color="C9D0EA" w:sz="4"/>
                    <w:bottom w:val="single" w:color="C9D0EA" w:sz="4"/>
                    <w:right w:val="single" w:color="C9D0EA" w:sz="4"/>
                  </w:tcBorders>
                  <w:shd w:fill="F7F8FD" w:color="auto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top"/>
                </w:tcPr>
                <w:p>
                  <w:pPr>
                    <w:spacing w:after="0"/>
                  </w:pPr>
                </w:p>
              </w:tc>
            </w:tr>
          </w:tbl>
          <w:p/>
        </w:tc>
      </w:tr>
    </w:tbl>
    <w:p>
      <w:pPr>
        <w:keepNext/>
        <w:pageBreakBefore/>
        <w:spacing w:after="60"/>
      </w:pPr>
      <w:r>
        <w:rPr>
          <w:rFonts w:ascii="Google Sans" w:cs="Google Sans" w:eastAsia="Google Sans" w:hAnsi="Google Sans"/>
          <w:b/>
          <w:bCs/>
          <w:caps/>
          <w:color w:val="2E5BE6"/>
          <w:spacing w:val="40"/>
          <w:sz w:val="18"/>
          <w:szCs w:val="18"/>
        </w:rPr>
        <w:t xml:space="preserve">Parte C · Uso interno Midia Pro</w:t>
      </w:r>
    </w:p>
    <w:p>
      <w:pPr>
        <w:pStyle w:val="Heading1"/>
        <w:keepNext/>
        <w:pBdr>
          <w:bottom w:val="single" w:color="011169" w:sz="12" w:space="6"/>
        </w:pBdr>
      </w:pPr>
      <w:r>
        <w:rPr>
          <w:rFonts w:ascii="Google Sans" w:cs="Google Sans" w:eastAsia="Google Sans" w:hAnsi="Google Sans"/>
        </w:rPr>
        <w:t xml:space="preserve">Parte C · Consolidação</w:t>
      </w:r>
    </w:p>
    <w:p>
      <w:pPr>
        <w:keepLines/>
        <w:spacing w:after="200" w:before="0" w:line="276" w:lineRule="auto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Depois de recebido o briefing e concluídas as entrevistas, o responsável de planeamento estratégico consolida a informação e redige o </w:t>
      </w:r>
      <w:r>
        <w:rPr>
          <w:rFonts w:ascii="Google Sans" w:cs="Google Sans" w:eastAsia="Google Sans" w:hAnsi="Google Sans"/>
          <w:b/>
          <w:bCs/>
          <w:color w:val="1A1F36"/>
          <w:sz w:val="20"/>
          <w:szCs w:val="20"/>
        </w:rPr>
        <w:t xml:space="preserve">Plano Estratégico no prazo de 48 horas</w:t>
      </w: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.</w:t>
      </w: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C1 · Matriz de análise da liderança</w:t>
      </w:r>
    </w:p>
    <w:p>
      <w:pPr>
        <w:keepLines/>
        <w:spacing w:after="120" w:before="0" w:line="276" w:lineRule="auto"/>
      </w:pPr>
      <w:r>
        <w:rPr>
          <w:rFonts w:ascii="Google Sans" w:cs="Google Sans" w:eastAsia="Google Sans" w:hAnsi="Google Sans"/>
          <w:color w:val="5B6384"/>
          <w:sz w:val="18"/>
          <w:szCs w:val="18"/>
        </w:rPr>
        <w:t xml:space="preserve">Os resultados são consolidados por dimensão, sem avaliações pessoais nem exposição individual das respostas.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900"/>
        <w:gridCol w:w="3138"/>
        <w:gridCol w:w="1500"/>
        <w:gridCol w:w="1400"/>
      </w:tblGrid>
      <w:tr>
        <w:trPr>
          <w:cantSplit/>
          <w:tblHeader/>
        </w:trPr>
        <w:tc>
          <w:tcPr>
            <w:tcW w:type="dxa" w:w="27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Dimensão</w:t>
            </w:r>
          </w:p>
        </w:tc>
        <w:tc>
          <w:tcPr>
            <w:tcW w:type="dxa" w:w="9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  <w:tc>
          <w:tcPr>
            <w:tcW w:type="dxa" w:w="31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15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14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</w:tr>
      <w:tr>
        <w:trPr>
          <w:cantSplit/>
          <w:trHeight w:val="520" w:hRule="atLeast"/>
        </w:trPr>
        <w:tc>
          <w:tcPr>
            <w:tcW w:type="dxa" w:w="27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Liderança e responsabilização</w:t>
            </w:r>
          </w:p>
        </w:tc>
        <w:tc>
          <w:tcPr>
            <w:tcW w:type="dxa" w:w="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25%</w:t>
            </w:r>
          </w:p>
        </w:tc>
        <w:tc>
          <w:tcPr>
            <w:tcW w:type="dxa" w:w="31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Clareza, acompanhamento, feedback e accountability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B2 · B6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  <w:trHeight w:val="520" w:hRule="atLeast"/>
        </w:trPr>
        <w:tc>
          <w:tcPr>
            <w:tcW w:type="dxa" w:w="27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Comunicação interna e alinhamento</w:t>
            </w:r>
          </w:p>
        </w:tc>
        <w:tc>
          <w:tcPr>
            <w:tcW w:type="dxa" w:w="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20%</w:t>
            </w:r>
          </w:p>
        </w:tc>
        <w:tc>
          <w:tcPr>
            <w:tcW w:type="dxa" w:w="31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Consistência entre Direcção, áreas e lojas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B3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  <w:trHeight w:val="520" w:hRule="atLeast"/>
        </w:trPr>
        <w:tc>
          <w:tcPr>
            <w:tcW w:type="dxa" w:w="27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Gestão por métricas</w:t>
            </w:r>
          </w:p>
        </w:tc>
        <w:tc>
          <w:tcPr>
            <w:tcW w:type="dxa" w:w="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20%</w:t>
            </w:r>
          </w:p>
        </w:tc>
        <w:tc>
          <w:tcPr>
            <w:tcW w:type="dxa" w:w="31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Disponibilidade e utilização de indicadores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B4 · A04 · A08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  <w:trHeight w:val="520" w:hRule="atLeast"/>
        </w:trPr>
        <w:tc>
          <w:tcPr>
            <w:tcW w:type="dxa" w:w="27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Gestão comercial e follow-up</w:t>
            </w:r>
          </w:p>
        </w:tc>
        <w:tc>
          <w:tcPr>
            <w:tcW w:type="dxa" w:w="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20%</w:t>
            </w:r>
          </w:p>
        </w:tc>
        <w:tc>
          <w:tcPr>
            <w:tcW w:type="dxa" w:w="31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Processo, registo, controlo e continuidade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B5 · A08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  <w:trHeight w:val="520" w:hRule="atLeast"/>
        </w:trPr>
        <w:tc>
          <w:tcPr>
            <w:tcW w:type="dxa" w:w="27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Cultura e abertura à mudança</w:t>
            </w:r>
          </w:p>
        </w:tc>
        <w:tc>
          <w:tcPr>
            <w:tcW w:type="dxa" w:w="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15%</w:t>
            </w:r>
          </w:p>
        </w:tc>
        <w:tc>
          <w:tcPr>
            <w:tcW w:type="dxa" w:w="31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Aprendizagem, colaboração e implementação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B6 · B7 · B8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1E9E5A" w:sz="4"/>
              <w:left w:val="single" w:color="1E9E5A" w:sz="4"/>
              <w:bottom w:val="single" w:color="1E9E5A" w:sz="4"/>
              <w:right w:val="single" w:color="1E9E5A" w:sz="4"/>
            </w:tcBorders>
            <w:shd w:fill="1E9E5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VERDE</w:t>
            </w:r>
          </w:p>
        </w:tc>
        <w:tc>
          <w:tcPr>
            <w:tcW w:type="dxa" w:w="7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Prática consolidada: confirmada por processo, registo ou métrica.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A008" w:sz="4"/>
              <w:left w:val="single" w:color="E3A008" w:sz="4"/>
              <w:bottom w:val="single" w:color="E3A008" w:sz="4"/>
              <w:right w:val="single" w:color="E3A008" w:sz="4"/>
            </w:tcBorders>
            <w:shd w:fill="E3A00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AMARELO</w:t>
            </w:r>
          </w:p>
        </w:tc>
        <w:tc>
          <w:tcPr>
            <w:tcW w:type="dxa" w:w="7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Necessita de melhoria: existe, mas sem consistência entre lojas ou sem evidência completa.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3A3A" w:sz="4"/>
              <w:left w:val="single" w:color="D63A3A" w:sz="4"/>
              <w:bottom w:val="single" w:color="D63A3A" w:sz="4"/>
              <w:right w:val="single" w:color="D63A3A" w:sz="4"/>
            </w:tcBorders>
            <w:shd w:fill="D63A3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VERMELHO</w:t>
            </w:r>
          </w:p>
        </w:tc>
        <w:tc>
          <w:tcPr>
            <w:tcW w:type="dxa" w:w="78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Gap crítico: não existe, ou a percepção declarada não corresponde à prática observada.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A008" w:sz="36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E3A008"/>
                <w:spacing w:val="30"/>
                <w:sz w:val="17"/>
                <w:szCs w:val="17"/>
              </w:rPr>
              <w:t xml:space="preserve">Nota metodológica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 pontuação declarada deve ser sempre cruzada com evidências. Uma avaliação elevada sem processo, registo, métrica ou evidência correspondente deverá ser assinalada como </w:t>
            </w:r>
            <w:r>
              <w:rPr>
                <w:rFonts w:ascii="Google Sans" w:cs="Google Sans" w:eastAsia="Google Sans" w:hAnsi="Google Sans"/>
                <w:b/>
                <w:bCs/>
                <w:color w:val="1A1F36"/>
                <w:sz w:val="18"/>
                <w:szCs w:val="18"/>
              </w:rPr>
              <w:t xml:space="preserve">discrepância entre percepção e prática</w:t>
            </w: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20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C2 · Hipóteses preliminares a validar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38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54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Hipótese</w:t>
            </w:r>
          </w:p>
        </w:tc>
        <w:tc>
          <w:tcPr>
            <w:tcW w:type="dxa" w:w="14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Confirmada</w:t>
            </w:r>
          </w:p>
        </w:tc>
        <w:tc>
          <w:tcPr>
            <w:tcW w:type="dxa" w:w="14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Não confirmada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Existem diferentes padrões de comunicação entre as três lojas.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Clareza insuficiente sobre responsabilidades de follow-up.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Disponibilidade e utilização efectiva de métricas comerciais e de atendimento.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Integração entre o fluxo digital, as equipas comerciais e as lojas.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Nível de alinhamento e abertura das lideranças intermédias às mudanças propostas.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Distribuição de responsabilidades entre liderança e equipas perante a redução dos resultados.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0" w:before="0" w:line="20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C3 · Checklist de evidências recebidas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0"/>
        <w:gridCol w:w="1500"/>
        <w:gridCol w:w="1100"/>
        <w:gridCol w:w="3038"/>
      </w:tblGrid>
      <w:tr>
        <w:trPr>
          <w:cantSplit/>
          <w:tblHeader/>
        </w:trPr>
        <w:tc>
          <w:tcPr>
            <w:tcW w:type="dxa" w:w="40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Evidência</w:t>
            </w:r>
          </w:p>
        </w:tc>
        <w:tc>
          <w:tcPr>
            <w:tcW w:type="dxa" w:w="15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11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Recebida</w:t>
            </w:r>
          </w:p>
        </w:tc>
        <w:tc>
          <w:tcPr>
            <w:tcW w:type="dxa" w:w="30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Organigrama e lista de lojas/colaboradores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A01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Relatório de vendas 12 meses por loja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A01 · A05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Estatísticas das redes sociais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A02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Manual de marca / logótipo em alta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A03 · A10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Mapa de metas do ano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A04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Top 20 produtos e tabela de preços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A05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Pasta de conteúdos existentes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A06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Relatório de anúncios (6 meses)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A07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Metas e resultados do último mês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A08 · B4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Mapa / registo de follow-up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A08 · B5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Script de vendas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A08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Lista de sistemas e ferramentas</w:t>
            </w:r>
          </w:p>
        </w:tc>
        <w:tc>
          <w:tcPr>
            <w:tcW w:type="dxa" w:w="15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A09</w:t>
            </w:r>
          </w:p>
        </w:tc>
        <w:tc>
          <w:tcPr>
            <w:tcW w:type="dxa" w:w="11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□</w:t>
            </w:r>
          </w:p>
        </w:tc>
        <w:tc>
          <w:tcPr>
            <w:tcW w:type="dxa" w:w="30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</w:p>
        </w:tc>
      </w:tr>
    </w:tbl>
    <w:p>
      <w:pPr>
        <w:spacing w:after="0" w:before="0" w:line="20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C4 · Do briefing à estratégia: quem usa o quê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2300"/>
        <w:gridCol w:w="4438"/>
      </w:tblGrid>
      <w:tr>
        <w:trPr>
          <w:cantSplit/>
          <w:tblHeader/>
        </w:trPr>
        <w:tc>
          <w:tcPr>
            <w:tcW w:type="dxa" w:w="29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Equipa Midia Pro</w:t>
            </w:r>
          </w:p>
        </w:tc>
        <w:tc>
          <w:tcPr>
            <w:tcW w:type="dxa" w:w="2300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Etapas de referência</w:t>
            </w:r>
          </w:p>
        </w:tc>
        <w:tc>
          <w:tcPr>
            <w:tcW w:type="dxa" w:w="4438"/>
            <w:tcBorders>
              <w:top w:val="single" w:color="011169" w:sz="4"/>
              <w:left w:val="single" w:color="011169" w:sz="4"/>
              <w:bottom w:val="single" w:color="011169" w:sz="4"/>
              <w:right w:val="single" w:color="011169" w:sz="4"/>
            </w:tcBorders>
            <w:shd w:fill="01116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FFFFFF"/>
                <w:sz w:val="17"/>
                <w:szCs w:val="17"/>
              </w:rPr>
              <w:t xml:space="preserve">Entregável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Planeamento Estratégico</w:t>
            </w:r>
          </w:p>
        </w:tc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Todas</w:t>
            </w:r>
          </w:p>
        </w:tc>
        <w:tc>
          <w:tcPr>
            <w:tcW w:type="dxa" w:w="4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Plano Estratégico consolidado (48 h)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Copywriting</w:t>
            </w:r>
          </w:p>
        </w:tc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A02 · A03 · A05</w:t>
            </w:r>
          </w:p>
        </w:tc>
        <w:tc>
          <w:tcPr>
            <w:tcW w:type="dxa" w:w="4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Mensagens-chave, textos e argumentos de venda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Design Gráfico</w:t>
            </w:r>
          </w:p>
        </w:tc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A03 · A06</w:t>
            </w:r>
          </w:p>
        </w:tc>
        <w:tc>
          <w:tcPr>
            <w:tcW w:type="dxa" w:w="4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Linha visual e peças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Videomaking</w:t>
            </w:r>
          </w:p>
        </w:tc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A03 · A06</w:t>
            </w:r>
          </w:p>
        </w:tc>
        <w:tc>
          <w:tcPr>
            <w:tcW w:type="dxa" w:w="4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Guiões e plano de gravações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Social Media</w:t>
            </w:r>
          </w:p>
        </w:tc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A02 · A03 · A06</w:t>
            </w:r>
          </w:p>
        </w:tc>
        <w:tc>
          <w:tcPr>
            <w:tcW w:type="dxa" w:w="4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Plano editorial e calendário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Tráfego Pago</w:t>
            </w:r>
          </w:p>
        </w:tc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A02 · A04 · A07</w:t>
            </w:r>
          </w:p>
        </w:tc>
        <w:tc>
          <w:tcPr>
            <w:tcW w:type="dxa" w:w="4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Plano de media, públicos e orçamento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Inside Sales</w:t>
            </w:r>
          </w:p>
        </w:tc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A08 · B4 · B5</w:t>
            </w:r>
          </w:p>
        </w:tc>
        <w:tc>
          <w:tcPr>
            <w:tcW w:type="dxa" w:w="4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Processo comercial, follow-up e argumentário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Desenvolvimento Tecnológico</w:t>
            </w:r>
          </w:p>
        </w:tc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A09</w:t>
            </w:r>
          </w:p>
        </w:tc>
        <w:tc>
          <w:tcPr>
            <w:tcW w:type="dxa" w:w="4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Plano técnico, automações e integrações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Formação e Liderança</w:t>
            </w:r>
          </w:p>
        </w:tc>
        <w:tc>
          <w:tcPr>
            <w:tcW w:type="dxa" w:w="2300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Parte B</w:t>
            </w:r>
          </w:p>
        </w:tc>
        <w:tc>
          <w:tcPr>
            <w:tcW w:type="dxa" w:w="4438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A1F36"/>
                <w:sz w:val="18"/>
                <w:szCs w:val="18"/>
              </w:rPr>
              <w:t xml:space="preserve">Workshop/palestra e formação de Atendimento, Vendas e Relacionamento</w:t>
            </w:r>
          </w:p>
        </w:tc>
      </w:tr>
    </w:tbl>
    <w:p>
      <w:pPr>
        <w:spacing w:after="0" w:before="0" w:line="20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C5 · Entregáveis do diagnóstico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Aplicação do instrumento de diagnóstico às lideranças definidas pela Midia Pro e pelo cliente.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Mapa consolidado das cinco dimensões avaliadas.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Identificação dos principais gaps e riscos organizacionais e comerciais.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Mapeamento preliminar do fluxo de comunicação e follow-up.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Recomendações de prioridades de intervenção.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Google Sans" w:cs="Google Sans" w:eastAsia="Google Sans" w:hAnsi="Google Sans"/>
          <w:color w:val="1A1F36"/>
          <w:sz w:val="20"/>
          <w:szCs w:val="20"/>
        </w:rPr>
        <w:t xml:space="preserve">Base técnica para o workshop/palestra e a formação de Atendimento, Vendas e Relacionamento com o Cliente.</w:t>
      </w:r>
    </w:p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BE6" w:sz="36"/>
              <w:bottom w:val="none" w:color="FFFFFF" w:sz="0"/>
              <w:right w:val="none" w:color="FFFFFF" w:sz="0"/>
            </w:tcBorders>
            <w:shd w:fill="EEF1FB" w:color="auto" w:val="clear"/>
            <w:tcMar>
              <w:top w:type="dxa" w:w="110"/>
              <w:left w:type="dxa" w:w="240"/>
              <w:bottom w:type="dxa" w:w="80"/>
              <w:right w:type="dxa" w:w="200"/>
            </w:tcMar>
            <w:vAlign w:val="top"/>
          </w:tcPr>
          <w:p>
            <w:pPr>
              <w:keepNext/>
              <w:keepLines/>
              <w:spacing w:after="8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aps/>
                <w:color w:val="2E5BE6"/>
                <w:spacing w:val="30"/>
                <w:sz w:val="17"/>
                <w:szCs w:val="17"/>
              </w:rPr>
              <w:t xml:space="preserve">Princípios de apresentação dos resultados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Google Sans" w:cs="Google Sans" w:eastAsia="Google Sans" w:hAnsi="Google Sans"/>
                <w:color w:val="1A1F36"/>
                <w:sz w:val="18"/>
                <w:szCs w:val="18"/>
              </w:rPr>
              <w:t xml:space="preserve">Os resultados são apresentados de forma consolidada, factual e orientada para soluções. O diagnóstico não tem como finalidade procurar culpados, mas identificar os pontos do sistema, liderança, processos, comunicação, competências e acompanhamento que necessitam de intervenção para melhorar a experiência do cliente e apoiar a recuperação dos resultados.</w:t>
            </w:r>
          </w:p>
        </w:tc>
      </w:tr>
    </w:tbl>
    <w:p>
      <w:pPr>
        <w:spacing w:after="0" w:before="0" w:line="240" w:lineRule="exact"/>
      </w:pPr>
    </w:p>
    <w:p>
      <w:pPr>
        <w:pStyle w:val="Heading2"/>
        <w:keepNext/>
      </w:pPr>
      <w:r>
        <w:rPr>
          <w:rFonts w:ascii="Google Sans" w:cs="Google Sans" w:eastAsia="Google Sans" w:hAnsi="Google Sans"/>
        </w:rPr>
        <w:t xml:space="preserve">C6 · Validação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200"/>
              <w:left w:type="dxa" w:w="240"/>
              <w:bottom w:type="dxa" w:w="120"/>
              <w:right w:type="dxa" w:w="200"/>
            </w:tcMar>
            <w:vAlign w:val="top"/>
          </w:tcPr>
          <w:p>
            <w:pPr>
              <w:keepLines/>
              <w:spacing w:after="16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Pelo cliente</w:t>
            </w:r>
          </w:p>
          <w:p>
            <w:pPr>
              <w:spacing w:after="200" w:before="0"/>
            </w:pP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Nome: </w:t>
            </w: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______________________________</w:t>
            </w:r>
          </w:p>
          <w:p>
            <w:pPr>
              <w:spacing w:after="200" w:before="0"/>
            </w:pP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Cargo: </w:t>
            </w: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______________________________</w:t>
            </w:r>
          </w:p>
          <w:p>
            <w:pPr>
              <w:spacing w:after="200" w:before="0"/>
            </w:pP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Assinatura: </w:t>
            </w: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______________________________</w:t>
            </w:r>
          </w:p>
          <w:p>
            <w:pPr>
              <w:spacing w:after="200" w:before="0"/>
            </w:pP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Data: </w:t>
            </w: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120" w:before="0" w:line="276" w:lineRule="auto"/>
            </w:pPr>
          </w:p>
        </w:tc>
        <w:tc>
          <w:tcPr>
            <w:tcW w:type="dxa" w:w="4719"/>
            <w:tcBorders>
              <w:top w:val="single" w:color="C9D0EA" w:sz="4"/>
              <w:left w:val="single" w:color="C9D0EA" w:sz="4"/>
              <w:bottom w:val="single" w:color="C9D0EA" w:sz="4"/>
              <w:right w:val="single" w:color="C9D0EA" w:sz="4"/>
            </w:tcBorders>
            <w:shd w:fill="F7F8FD" w:color="auto" w:val="clear"/>
            <w:tcMar>
              <w:top w:type="dxa" w:w="200"/>
              <w:left w:type="dxa" w:w="240"/>
              <w:bottom w:type="dxa" w:w="120"/>
              <w:right w:type="dxa" w:w="200"/>
            </w:tcMar>
            <w:vAlign w:val="top"/>
          </w:tcPr>
          <w:p>
            <w:pPr>
              <w:keepLines/>
              <w:spacing w:after="160" w:before="0" w:line="276" w:lineRule="auto"/>
            </w:pPr>
            <w:r>
              <w:rPr>
                <w:rFonts w:ascii="Google Sans" w:cs="Google Sans" w:eastAsia="Google Sans" w:hAnsi="Google Sans"/>
                <w:b/>
                <w:bCs/>
                <w:color w:val="011169"/>
                <w:sz w:val="18"/>
                <w:szCs w:val="18"/>
              </w:rPr>
              <w:t xml:space="preserve">Pela Midia Pro</w:t>
            </w:r>
          </w:p>
          <w:p>
            <w:pPr>
              <w:spacing w:after="200" w:before="0"/>
            </w:pP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Nome: </w:t>
            </w: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______________________________</w:t>
            </w:r>
          </w:p>
          <w:p>
            <w:pPr>
              <w:spacing w:after="200" w:before="0"/>
            </w:pP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Cargo: </w:t>
            </w: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______________________________</w:t>
            </w:r>
          </w:p>
          <w:p>
            <w:pPr>
              <w:spacing w:after="200" w:before="0"/>
            </w:pP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Assinatura: </w:t>
            </w: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______________________________</w:t>
            </w:r>
          </w:p>
          <w:p>
            <w:pPr>
              <w:spacing w:after="200" w:before="0"/>
            </w:pP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Data: </w:t>
            </w:r>
            <w:r>
              <w:rPr>
                <w:rFonts w:ascii="Google Sans" w:cs="Google Sans" w:eastAsia="Google Sans" w:hAnsi="Google Sans"/>
                <w:color w:val="5B6384"/>
                <w:sz w:val="18"/>
                <w:szCs w:val="18"/>
              </w:rPr>
              <w:t xml:space="preserve">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134" w:bottom="1000" w:left="1134" w:header="450" w:footer="400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oogle Sans">
    <w:charset w:val="00"/>
    <w:family w:val="auto"/>
    <w:pitch w:val="variable"/>
    <w:sig w:usb0="E0002AFF" w:usb1="C000247B" w:usb2="00000009" w:usb3="00000000" w:csb0="000001FF" w:csb1="00000000"/>
    <w:embedRegular r:id="rId1" w:fontKey="{2704F6CA-47A3-4B22-DC5A-5D1BB48813BC}"/>
    <w:embedBold r:id="rIdBold" w:fontKey="{66085CC7-4E5A-45DA-924E-6DE184075B9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0EA" w:sz="4" w:space="6"/>
      </w:pBdr>
    </w:pPr>
    <w:r>
      <w:rPr>
        <w:rFonts w:ascii="Google Sans" w:cs="Google Sans" w:eastAsia="Google Sans" w:hAnsi="Google Sans"/>
        <w:b/>
        <w:bCs/>
        <w:color w:val="011169"/>
        <w:sz w:val="14"/>
        <w:szCs w:val="14"/>
      </w:rPr>
      <w:t xml:space="preserve">Midia Pro · Comunicação e Imagem</w:t>
    </w:r>
    <w:r>
      <w:rPr>
        <w:rFonts w:ascii="Google Sans" w:cs="Google Sans" w:eastAsia="Google Sans" w:hAnsi="Google Sans"/>
        <w:color w:val="5B6384"/>
        <w:sz w:val="14"/>
        <w:szCs w:val="14"/>
      </w:rPr>
      <w:t xml:space="preserve">   Av. Vladimir Lenine nº 1895, R/C, Maputo · +258 85 589 0000 · info@midiapro.co.mz</w:t>
    </w:r>
    <w:r>
      <w:ptab w:alignment="right" w:relativeTo="margin" w:leader="none"/>
    </w:r>
    <w:r>
      <w:rPr>
        <w:rFonts w:ascii="Google Sans" w:cs="Google Sans" w:eastAsia="Google Sans" w:hAnsi="Google Sans"/>
        <w:b/>
        <w:bCs/>
        <w:color w:val="0111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0EA" w:sz="4" w:space="6"/>
      </w:pBdr>
      <w:spacing w:after="0"/>
    </w:pPr>
    <w:r>
      <w:drawing>
        <wp:inline distT="0" distB="0" distL="0" distR="0">
          <wp:extent cx="59055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alignment="right" w:relativeTo="margin" w:leader="none"/>
    </w:r>
    <w:r>
      <w:rPr>
        <w:rFonts w:ascii="Google Sans" w:cs="Google Sans" w:eastAsia="Google Sans" w:hAnsi="Google Sans"/>
        <w:b/>
        <w:bCs/>
        <w:color w:val="011169"/>
        <w:sz w:val="16"/>
        <w:szCs w:val="16"/>
      </w:rPr>
      <w:t xml:space="preserve">Diagnóstico 360° Pro</w:t>
    </w:r>
    <w:r>
      <w:rPr>
        <w:rFonts w:ascii="Google Sans" w:cs="Google Sans" w:eastAsia="Google Sans" w:hAnsi="Google Sans"/>
        <w:color w:val="5B6384"/>
        <w:sz w:val="16"/>
        <w:szCs w:val="16"/>
      </w:rPr>
      <w:t xml:space="preserve">  ·  Home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rFonts w:ascii="Google Sans" w:cs="Google Sans" w:eastAsia="Google Sans" w:hAnsi="Google Sans"/>
        <w:color w:val="2E5BE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Google Sans" w:cs="Google Sans" w:eastAsia="Google Sans" w:hAnsi="Google Sans"/>
        <w:b/>
        <w:bCs/>
        <w:color w:val="2E5BE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Google Sans" w:cs="Google Sans" w:eastAsia="Google Sans" w:hAnsi="Google Sans"/>
      <w:b/>
      <w:bCs/>
      <w:color w:val="011169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oogle Sans" w:cs="Google Sans" w:eastAsia="Google Sans" w:hAnsi="Google Sans"/>
      <w:b/>
      <w:bCs/>
      <w:color w:val="01116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oogle Sans" w:cs="Google Sans" w:eastAsia="Google Sans" w:hAnsi="Google Sans"/>
      <w:b/>
      <w:bCs/>
      <w:color w:val="2E5BE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43c170b6c8ec66daa830ef6cc2c29510746d7a.png"/><Relationship Id="rId10" Type="http://schemas.openxmlformats.org/officeDocument/2006/relationships/image" Target="media/bb455daa01c30fa1978838d1d6b5f80674d9c64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63ec76e97ffb7871e933be90adab047f6beec5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360° Pro · Briefing Estratégico &amp; Diagnóstico de Liderança</dc:title>
  <dc:creator>Midia Pro</dc:creator>
  <dc:description>Modelo de recolha de briefing e diagnóstico de liderança · Midia Pro</dc:description>
  <cp:lastModifiedBy>Un-named</cp:lastModifiedBy>
  <cp:revision>1</cp:revision>
  <dcterms:created xsi:type="dcterms:W3CDTF">2026-10-09T14:30:22.577Z</dcterms:created>
  <dcterms:modified xsi:type="dcterms:W3CDTF">2026-10-09T14:30:22.577Z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