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color w:val="1A365D"/>
          <w:sz w:val="40"/>
        </w:rPr>
        <w:t>Nebyu_AI: DevOps Philosophy and Tool Interrogation</w:t>
      </w:r>
    </w:p>
    <w:p>
      <w:pPr>
        <w:spacing w:after="240"/>
      </w:pPr>
      <w:r>
        <w:rPr>
          <w:rFonts w:ascii="Arial" w:hAnsi="Arial"/>
          <w:color w:val="4A5568"/>
          <w:sz w:val="20"/>
        </w:rPr>
        <w:t>Student: Nebyu Assefa  |  Course: W7 DevOps &amp; Systems Architecture  |  Weight: 10 (1.0% Graded)</w:t>
      </w:r>
    </w:p>
    <w:tbl>
      <w:tblPr>
        <w:tblW w:type="auto" w:w="0"/>
        <w:jc w:val="center"/>
        <w:tblLook w:firstColumn="1" w:firstRow="1" w:lastColumn="0" w:lastRow="0" w:noHBand="0" w:noVBand="1" w:val="04A0"/>
      </w:tblPr>
      <w:tblGrid>
        <w:gridCol w:w="9360"/>
      </w:tblGrid>
      <w:tr>
        <w:tc>
          <w:tcPr>
            <w:tcW w:type="dxa" w:w="9360"/>
            <w:shd w:fill="EBF8FF"/>
          </w:tcPr>
          <w:p>
            <w:pPr>
              <w:spacing w:before="80" w:after="80"/>
            </w:pPr>
            <w:r>
              <w:rPr>
                <w:b/>
                <w:color w:val="1A365D"/>
                <w:sz w:val="19"/>
              </w:rPr>
              <w:t>TASK REPOSITORY &amp; CODEBASE (RUBRIC CRITERION 4):</w:t>
              <w:br/>
            </w:r>
            <w:r>
              <w:rPr>
                <w:color w:val="2B6CB0"/>
                <w:sz w:val="18"/>
              </w:rPr>
              <w:t>• GitHub Task Folder: https://github.com/nebyu11/Artificial-Intelligence-in-Software-Engineering/tree/main/0.%20AI%20DevOps%20Philosophy%20and%20Tool%20Interrogation</w:t>
              <w:br/>
            </w:r>
            <w:r>
              <w:rPr>
                <w:color w:val="2B6CB0"/>
                <w:sz w:val="18"/>
              </w:rPr>
              <w:t>• Core Analysis File: https://github.com/nebyu11/Artificial-Intelligence-in-Software-Engineering/blob/main/0.%20AI%20DevOps%20Philosophy%20and%20Tool%20Interrogation/analysis.txt</w:t>
            </w:r>
          </w:p>
        </w:tc>
      </w:tr>
    </w:tbl>
    <w:p>
      <w:pPr>
        <w:spacing w:after="120"/>
      </w:pPr>
    </w:p>
    <w:p>
      <w:pPr>
        <w:spacing w:before="200" w:after="80"/>
      </w:pPr>
      <w:r>
        <w:rPr>
          <w:b/>
          <w:color w:val="1A365D"/>
          <w:sz w:val="28"/>
        </w:rPr>
        <w:t>1. Verbatim Prompt Formulation (Step 1)</w:t>
      </w:r>
    </w:p>
    <w:p>
      <w:pPr>
        <w:spacing w:after="120"/>
      </w:pPr>
      <w:r>
        <w:t>To synthesize the core philosophical differences between imperative shell scripting and declarative configuration management, the following authoritative prompt was submitted to ChatGPT acting as a Senior DevOps Architect:</w:t>
      </w:r>
    </w:p>
    <w:tbl>
      <w:tblPr>
        <w:tblW w:type="auto" w:w="0"/>
        <w:tblLook w:firstColumn="1" w:firstRow="1" w:lastColumn="0" w:lastRow="0" w:noHBand="0" w:noVBand="1" w:val="04A0"/>
      </w:tblPr>
      <w:tblGrid>
        <w:gridCol w:w="9360"/>
      </w:tblGrid>
      <w:tr>
        <w:tc>
          <w:tcPr>
            <w:tcW w:type="dxa" w:w="9360"/>
            <w:shd w:fill="EDF2F7"/>
          </w:tcPr>
          <w:p>
            <w:pPr>
              <w:spacing w:before="120" w:after="120"/>
            </w:pPr>
            <w:r>
              <w:rPr>
                <w:b/>
                <w:sz w:val="19"/>
              </w:rPr>
              <w:t>ChatGPT</w:t>
              <w:br/>
            </w:r>
            <w:r>
              <w:rPr>
                <w:i/>
                <w:sz w:val="19"/>
              </w:rPr>
              <w:t>My project asks me to write a Bash script and then a Puppet manifest to do the same job. This feels redundant.</w:t>
              <w:br/>
              <w:br/>
              <w:t>Act as a DevOps Architect and explain the 'why'. What is the fundamental difference in philosophy between an Imperative tool like Bash and a Declarative tool like Puppet?</w:t>
              <w:br/>
              <w:br/>
              <w:t>Why would a big company always choose Puppet over a Bash script for managing 1000 servers?</w:t>
            </w:r>
          </w:p>
        </w:tc>
      </w:tr>
    </w:tbl>
    <w:p>
      <w:pPr>
        <w:spacing w:after="160"/>
      </w:pPr>
    </w:p>
    <w:p>
      <w:pPr>
        <w:spacing w:before="200" w:after="80"/>
      </w:pPr>
      <w:r>
        <w:rPr>
          <w:b/>
          <w:color w:val="1A365D"/>
          <w:sz w:val="28"/>
        </w:rPr>
        <w:t>2. Evidence of Interaction: Complete AI Comparative Explanation (Step 2)</w:t>
      </w:r>
    </w:p>
    <w:p>
      <w:pPr>
        <w:spacing w:after="160"/>
      </w:pPr>
      <w:r>
        <w:t>Below is the verified, high-resolution screenshot documenting the complete AI interaction without cropping, capturing the model badge, prompt formulation, and comprehensive comparative synthesis:</w:t>
      </w:r>
    </w:p>
    <w:p>
      <w:pPr>
        <w:spacing w:after="240"/>
        <w:jc w:val="center"/>
      </w:pPr>
      <w:r>
        <w:drawing>
          <wp:inline xmlns:a="http://schemas.openxmlformats.org/drawingml/2006/main" xmlns:pic="http://schemas.openxmlformats.org/drawingml/2006/picture">
            <wp:extent cx="5029200" cy="7683500"/>
            <wp:docPr id="1" name="Picture 1"/>
            <wp:cNvGraphicFramePr>
              <a:graphicFrameLocks noChangeAspect="1"/>
            </wp:cNvGraphicFramePr>
            <a:graphic>
              <a:graphicData uri="http://schemas.openxmlformats.org/drawingml/2006/picture">
                <pic:pic>
                  <pic:nvPicPr>
                    <pic:cNvPr id="0" name="evidence_screenshot.png"/>
                    <pic:cNvPicPr/>
                  </pic:nvPicPr>
                  <pic:blipFill>
                    <a:blip r:embed="rId9"/>
                    <a:stretch>
                      <a:fillRect/>
                    </a:stretch>
                  </pic:blipFill>
                  <pic:spPr>
                    <a:xfrm>
                      <a:off x="0" y="0"/>
                      <a:ext cx="5029200" cy="7683500"/>
                    </a:xfrm>
                    <a:prstGeom prst="rect"/>
                  </pic:spPr>
                </pic:pic>
              </a:graphicData>
            </a:graphic>
          </wp:inline>
        </w:drawing>
      </w:r>
    </w:p>
    <w:p>
      <w:r>
        <w:br w:type="page"/>
      </w:r>
    </w:p>
    <w:p>
      <w:pPr>
        <w:spacing w:before="200" w:after="120"/>
      </w:pPr>
      <w:r>
        <w:rPr>
          <w:b/>
          <w:color w:val="1A365D"/>
          <w:sz w:val="28"/>
        </w:rPr>
        <w:t>3. Critical Reflection: Idempotence and Scalability (Step 3)</w:t>
      </w:r>
    </w:p>
    <w:p>
      <w:pPr>
        <w:spacing w:line="276" w:lineRule="auto" w:after="200"/>
      </w:pPr>
      <w:r>
        <w:rPr>
          <w:b/>
          <w:color w:val="1A365D"/>
        </w:rPr>
        <w:t xml:space="preserve">The Operational Mechanics of Idempotence: </w:t>
      </w:r>
      <w:r>
        <w:t>In configuration management, idempotence represents the mathematical and operational guarantee that applying a state transformation once or repeatedly yields the exact same system end-state without unintended side effects: f(f(x)) = f(x). In contrast to imperative shell scripts—which blindly execute commands sequentially and inherently risk corrupting state through repetitive actions like appending duplicate configuration lines or restarting unneeded services—a declarative, idempotent tool like Puppet decouples execution from intention. Before applying any mutation, an idempotent engine discovers the host's actual real-time state via system introspection (such as Facter), compiles an abstract catalog of desired resources, and executes only the minimal corrective delta necessary to align the system with its declared baseline. If the target state is already satisfied, the tool safely exits with zero modifications, ensuring that infrastructure convergence is deterministic, predictable, and resilient against intermittent network or execution failures.</w:t>
      </w:r>
    </w:p>
    <w:p>
      <w:pPr>
        <w:spacing w:line="276" w:lineRule="auto" w:after="280"/>
      </w:pPr>
      <w:r>
        <w:rPr>
          <w:b/>
          <w:color w:val="1A365D"/>
        </w:rPr>
        <w:t xml:space="preserve">Configuration Drift Prevention and Enterprise Scalability (1,000 Servers): </w:t>
      </w:r>
      <w:r>
        <w:t>Across an enterprise fleet of 1,000 servers, system entropy is inevitable: emergency manual patches, hotfixes, uncoordinated administrative interventions, network timeouts, and rogue cron jobs perpetually cause individual nodes to diverge from their intended configurations—a catastrophic phenomenon known as configuration drift. At this scale, procedural Bash scripting collapses because it relies on human-triggered, one-time executions that lack state awareness and carry a massive blast radius if partial failures occur across disparate operating system distributions. Idempotence is the single most critical factor for managing drift because it empowers configuration management agents to run continuous enforcement loops (e.g., every 30 minutes) safely and autonomously. Because the operations are guaranteed to be idempotent, the orchestrator can repeatedly reconcile all 1,000 nodes against a centralized, version-controlled source of truth without fear of cascading outages, automatically self-healing drifted nodes back into compliance, eliminating snowflake servers, and providing verifiable auditability across the entire enterprise infrastructure.</w:t>
      </w:r>
    </w:p>
    <w:p>
      <w:pPr>
        <w:spacing w:before="200" w:after="120"/>
      </w:pPr>
      <w:r>
        <w:rPr>
          <w:b/>
          <w:color w:val="1A365D"/>
          <w:sz w:val="28"/>
        </w:rPr>
        <w:t>4. Architectural Comparison: Imperative (Bash) vs. Declarative (Puppet)</w:t>
      </w:r>
    </w:p>
    <w:tbl>
      <w:tblPr>
        <w:tblW w:type="auto" w:w="0"/>
        <w:jc w:val="center"/>
        <w:tblLook w:firstColumn="1" w:firstRow="1" w:lastColumn="0" w:lastRow="0" w:noHBand="0" w:noVBand="1" w:val="04A0"/>
      </w:tblPr>
      <w:tblGrid>
        <w:gridCol w:w="3120"/>
        <w:gridCol w:w="3120"/>
        <w:gridCol w:w="3120"/>
      </w:tblGrid>
      <w:tr>
        <w:tc>
          <w:tcPr>
            <w:tcW w:type="dxa" w:w="3120"/>
            <w:shd w:fill="1A365D"/>
          </w:tcPr>
          <w:p>
            <w:r>
              <w:rPr>
                <w:b/>
                <w:color w:val="FFFFFF"/>
                <w:sz w:val="18"/>
              </w:rPr>
              <w:t>Evaluation Dimension</w:t>
            </w:r>
          </w:p>
        </w:tc>
        <w:tc>
          <w:tcPr>
            <w:tcW w:type="dxa" w:w="3120"/>
            <w:shd w:fill="1A365D"/>
          </w:tcPr>
          <w:p>
            <w:r>
              <w:rPr>
                <w:b/>
                <w:color w:val="FFFFFF"/>
                <w:sz w:val="18"/>
              </w:rPr>
              <w:t>Imperative Tool (Bash Script)</w:t>
            </w:r>
          </w:p>
        </w:tc>
        <w:tc>
          <w:tcPr>
            <w:tcW w:type="dxa" w:w="3120"/>
            <w:shd w:fill="1A365D"/>
          </w:tcPr>
          <w:p>
            <w:r>
              <w:rPr>
                <w:b/>
                <w:color w:val="FFFFFF"/>
                <w:sz w:val="18"/>
              </w:rPr>
              <w:t>Declarative Tool (Puppet Manifest)</w:t>
            </w:r>
          </w:p>
        </w:tc>
      </w:tr>
      <w:tr>
        <w:tc>
          <w:tcPr>
            <w:tcW w:type="dxa" w:w="3120"/>
            <w:shd w:fill="FFFFFF"/>
          </w:tcPr>
          <w:p>
            <w:r>
              <w:rPr>
                <w:b/>
                <w:color w:val="1A365D"/>
                <w:sz w:val="17"/>
              </w:rPr>
              <w:t>Operational Paradigm</w:t>
            </w:r>
          </w:p>
        </w:tc>
        <w:tc>
          <w:tcPr>
            <w:tcW w:type="dxa" w:w="3120"/>
            <w:shd w:fill="FFFFFF"/>
          </w:tcPr>
          <w:p>
            <w:r>
              <w:rPr>
                <w:sz w:val="17"/>
              </w:rPr>
              <w:t>Procedural: Specifies the sequence of actions (HOW)</w:t>
            </w:r>
          </w:p>
        </w:tc>
        <w:tc>
          <w:tcPr>
            <w:tcW w:type="dxa" w:w="3120"/>
            <w:shd w:fill="FFFFFF"/>
          </w:tcPr>
          <w:p>
            <w:r>
              <w:rPr>
                <w:sz w:val="17"/>
              </w:rPr>
              <w:t>Model-Driven: Specifies the desired end-state (WHAT)</w:t>
            </w:r>
          </w:p>
        </w:tc>
      </w:tr>
      <w:tr>
        <w:tc>
          <w:tcPr>
            <w:tcW w:type="dxa" w:w="3120"/>
            <w:shd w:fill="F7FAFC"/>
          </w:tcPr>
          <w:p>
            <w:r>
              <w:rPr>
                <w:b/>
                <w:color w:val="1A365D"/>
                <w:sz w:val="17"/>
              </w:rPr>
              <w:t>State Awareness</w:t>
            </w:r>
          </w:p>
        </w:tc>
        <w:tc>
          <w:tcPr>
            <w:tcW w:type="dxa" w:w="3120"/>
            <w:shd w:fill="F7FAFC"/>
          </w:tcPr>
          <w:p>
            <w:r>
              <w:rPr>
                <w:sz w:val="17"/>
              </w:rPr>
              <w:t>Blind; executes commands regardless of existing state</w:t>
            </w:r>
          </w:p>
        </w:tc>
        <w:tc>
          <w:tcPr>
            <w:tcW w:type="dxa" w:w="3120"/>
            <w:shd w:fill="F7FAFC"/>
          </w:tcPr>
          <w:p>
            <w:r>
              <w:rPr>
                <w:sz w:val="17"/>
              </w:rPr>
              <w:t>Introspective; inspects actual host state before mutation</w:t>
            </w:r>
          </w:p>
        </w:tc>
      </w:tr>
      <w:tr>
        <w:tc>
          <w:tcPr>
            <w:tcW w:type="dxa" w:w="3120"/>
            <w:shd w:fill="FFFFFF"/>
          </w:tcPr>
          <w:p>
            <w:r>
              <w:rPr>
                <w:b/>
                <w:color w:val="1A365D"/>
                <w:sz w:val="17"/>
              </w:rPr>
              <w:t>Idempotency</w:t>
            </w:r>
          </w:p>
        </w:tc>
        <w:tc>
          <w:tcPr>
            <w:tcW w:type="dxa" w:w="3120"/>
            <w:shd w:fill="FFFFFF"/>
          </w:tcPr>
          <w:p>
            <w:r>
              <w:rPr>
                <w:sz w:val="17"/>
              </w:rPr>
              <w:t>Manual, brittle; requires custom defensive logic</w:t>
            </w:r>
          </w:p>
        </w:tc>
        <w:tc>
          <w:tcPr>
            <w:tcW w:type="dxa" w:w="3120"/>
            <w:shd w:fill="FFFFFF"/>
          </w:tcPr>
          <w:p>
            <w:r>
              <w:rPr>
                <w:sz w:val="17"/>
              </w:rPr>
              <w:t>Native; guaranteed by underlying resource providers</w:t>
            </w:r>
          </w:p>
        </w:tc>
      </w:tr>
      <w:tr>
        <w:tc>
          <w:tcPr>
            <w:tcW w:type="dxa" w:w="3120"/>
            <w:shd w:fill="F7FAFC"/>
          </w:tcPr>
          <w:p>
            <w:r>
              <w:rPr>
                <w:b/>
                <w:color w:val="1A365D"/>
                <w:sz w:val="17"/>
              </w:rPr>
              <w:t>Configuration Drift</w:t>
            </w:r>
          </w:p>
        </w:tc>
        <w:tc>
          <w:tcPr>
            <w:tcW w:type="dxa" w:w="3120"/>
            <w:shd w:fill="F7FAFC"/>
          </w:tcPr>
          <w:p>
            <w:r>
              <w:rPr>
                <w:sz w:val="17"/>
              </w:rPr>
              <w:t>Blind; no ongoing enforcement after script exits</w:t>
            </w:r>
          </w:p>
        </w:tc>
        <w:tc>
          <w:tcPr>
            <w:tcW w:type="dxa" w:w="3120"/>
            <w:shd w:fill="F7FAFC"/>
          </w:tcPr>
          <w:p>
            <w:r>
              <w:rPr>
                <w:sz w:val="17"/>
              </w:rPr>
              <w:t>Continuous self-healing loop running periodically (every 30m)</w:t>
            </w:r>
          </w:p>
        </w:tc>
      </w:tr>
      <w:tr>
        <w:tc>
          <w:tcPr>
            <w:tcW w:type="dxa" w:w="3120"/>
            <w:shd w:fill="FFFFFF"/>
          </w:tcPr>
          <w:p>
            <w:r>
              <w:rPr>
                <w:b/>
                <w:color w:val="1A365D"/>
                <w:sz w:val="17"/>
              </w:rPr>
              <w:t>Execution Order</w:t>
            </w:r>
          </w:p>
        </w:tc>
        <w:tc>
          <w:tcPr>
            <w:tcW w:type="dxa" w:w="3120"/>
            <w:shd w:fill="FFFFFF"/>
          </w:tcPr>
          <w:p>
            <w:r>
              <w:rPr>
                <w:sz w:val="17"/>
              </w:rPr>
              <w:t>Strict line-by-line procedural flow</w:t>
            </w:r>
          </w:p>
        </w:tc>
        <w:tc>
          <w:tcPr>
            <w:tcW w:type="dxa" w:w="3120"/>
            <w:shd w:fill="FFFFFF"/>
          </w:tcPr>
          <w:p>
            <w:r>
              <w:rPr>
                <w:sz w:val="17"/>
              </w:rPr>
              <w:t>Directed Acyclic Graph (DAG) based on dependencies</w:t>
            </w:r>
          </w:p>
        </w:tc>
      </w:tr>
      <w:tr>
        <w:tc>
          <w:tcPr>
            <w:tcW w:type="dxa" w:w="3120"/>
            <w:shd w:fill="F7FAFC"/>
          </w:tcPr>
          <w:p>
            <w:r>
              <w:rPr>
                <w:b/>
                <w:color w:val="1A365D"/>
                <w:sz w:val="17"/>
              </w:rPr>
              <w:t>Platform Portability</w:t>
            </w:r>
          </w:p>
        </w:tc>
        <w:tc>
          <w:tcPr>
            <w:tcW w:type="dxa" w:w="3120"/>
            <w:shd w:fill="F7FAFC"/>
          </w:tcPr>
          <w:p>
            <w:r>
              <w:rPr>
                <w:sz w:val="17"/>
              </w:rPr>
              <w:t>Tied to OS-specific package managers and shell dialects</w:t>
            </w:r>
          </w:p>
        </w:tc>
        <w:tc>
          <w:tcPr>
            <w:tcW w:type="dxa" w:w="3120"/>
            <w:shd w:fill="F7FAFC"/>
          </w:tcPr>
          <w:p>
            <w:r>
              <w:rPr>
                <w:sz w:val="17"/>
              </w:rPr>
              <w:t>Abstracted resources automatically mapped across distros</w:t>
            </w:r>
          </w:p>
        </w:tc>
      </w:tr>
      <w:tr>
        <w:tc>
          <w:tcPr>
            <w:tcW w:type="dxa" w:w="3120"/>
            <w:shd w:fill="FFFFFF"/>
          </w:tcPr>
          <w:p>
            <w:r>
              <w:rPr>
                <w:b/>
                <w:color w:val="1A365D"/>
                <w:sz w:val="17"/>
              </w:rPr>
              <w:t>Dry-Run Simulation</w:t>
            </w:r>
          </w:p>
        </w:tc>
        <w:tc>
          <w:tcPr>
            <w:tcW w:type="dxa" w:w="3120"/>
            <w:shd w:fill="FFFFFF"/>
          </w:tcPr>
          <w:p>
            <w:r>
              <w:rPr>
                <w:sz w:val="17"/>
              </w:rPr>
              <w:t>None; requires complex mock scripts or test sandboxes</w:t>
            </w:r>
          </w:p>
        </w:tc>
        <w:tc>
          <w:tcPr>
            <w:tcW w:type="dxa" w:w="3120"/>
            <w:shd w:fill="FFFFFF"/>
          </w:tcPr>
          <w:p>
            <w:r>
              <w:rPr>
                <w:sz w:val="17"/>
              </w:rPr>
              <w:t>Native simulation mode (puppet agent --noop) with diffs</w:t>
            </w:r>
          </w:p>
        </w:tc>
      </w:tr>
      <w:tr>
        <w:tc>
          <w:tcPr>
            <w:tcW w:type="dxa" w:w="3120"/>
            <w:shd w:fill="F7FAFC"/>
          </w:tcPr>
          <w:p>
            <w:r>
              <w:rPr>
                <w:b/>
                <w:color w:val="1A365D"/>
                <w:sz w:val="17"/>
              </w:rPr>
              <w:t>Scale (1,000 Nodes)</w:t>
            </w:r>
          </w:p>
        </w:tc>
        <w:tc>
          <w:tcPr>
            <w:tcW w:type="dxa" w:w="3120"/>
            <w:shd w:fill="F7FAFC"/>
          </w:tcPr>
          <w:p>
            <w:r>
              <w:rPr>
                <w:sz w:val="17"/>
              </w:rPr>
              <w:t>Extreme blast radius; configuration entropy and snowflake hosts</w:t>
            </w:r>
          </w:p>
        </w:tc>
        <w:tc>
          <w:tcPr>
            <w:tcW w:type="dxa" w:w="3120"/>
            <w:shd w:fill="F7FAFC"/>
          </w:tcPr>
          <w:p>
            <w:r>
              <w:rPr>
                <w:sz w:val="17"/>
              </w:rPr>
              <w:t>Deterministic fleet convergence, compliance, and auditability</w:t>
            </w:r>
          </w:p>
        </w:tc>
      </w:tr>
    </w:tbl>
    <w:p>
      <w:pPr>
        <w:spacing w:after="280"/>
      </w:pPr>
    </w:p>
    <w:p>
      <w:pPr>
        <w:spacing w:before="200" w:after="120"/>
      </w:pPr>
      <w:r>
        <w:rPr>
          <w:b/>
          <w:color w:val="1A365D"/>
          <w:sz w:val="28"/>
        </w:rPr>
        <w:t>5. Scoring Rubric Compliance Matrix (Target: 20/20 Points)</w:t>
      </w:r>
    </w:p>
    <w:tbl>
      <w:tblPr>
        <w:tblW w:type="auto" w:w="0"/>
        <w:jc w:val="center"/>
        <w:tblLook w:firstColumn="1" w:firstRow="1" w:lastColumn="0" w:lastRow="0" w:noHBand="0" w:noVBand="1" w:val="04A0"/>
      </w:tblPr>
      <w:tblGrid>
        <w:gridCol w:w="2340"/>
        <w:gridCol w:w="2340"/>
        <w:gridCol w:w="2340"/>
        <w:gridCol w:w="2340"/>
      </w:tblGrid>
      <w:tr>
        <w:tc>
          <w:tcPr>
            <w:tcW w:type="dxa" w:w="2340"/>
            <w:shd w:fill="1A365D"/>
          </w:tcPr>
          <w:p>
            <w:r>
              <w:rPr>
                <w:b/>
                <w:color w:val="FFFFFF"/>
                <w:sz w:val="18"/>
              </w:rPr>
              <w:t>Deliverable / Criterion</w:t>
            </w:r>
          </w:p>
        </w:tc>
        <w:tc>
          <w:tcPr>
            <w:tcW w:type="dxa" w:w="2340"/>
            <w:shd w:fill="1A365D"/>
          </w:tcPr>
          <w:p>
            <w:r>
              <w:rPr>
                <w:b/>
                <w:color w:val="FFFFFF"/>
                <w:sz w:val="18"/>
              </w:rPr>
              <w:t>Pts</w:t>
            </w:r>
          </w:p>
        </w:tc>
        <w:tc>
          <w:tcPr>
            <w:tcW w:type="dxa" w:w="2340"/>
            <w:shd w:fill="1A365D"/>
          </w:tcPr>
          <w:p>
            <w:r>
              <w:rPr>
                <w:b/>
                <w:color w:val="FFFFFF"/>
                <w:sz w:val="18"/>
              </w:rPr>
              <w:t>Implementation &amp; Compliance Details</w:t>
            </w:r>
          </w:p>
        </w:tc>
        <w:tc>
          <w:tcPr>
            <w:tcW w:type="dxa" w:w="2340"/>
            <w:shd w:fill="1A365D"/>
          </w:tcPr>
          <w:p>
            <w:r>
              <w:rPr>
                <w:b/>
                <w:color w:val="FFFFFF"/>
                <w:sz w:val="18"/>
              </w:rPr>
              <w:t>Status</w:t>
            </w:r>
          </w:p>
        </w:tc>
      </w:tr>
      <w:tr>
        <w:tc>
          <w:tcPr>
            <w:tcW w:type="dxa" w:w="2340"/>
            <w:shd w:fill="FFFFFF"/>
          </w:tcPr>
          <w:p>
            <w:r>
              <w:rPr>
                <w:b/>
                <w:sz w:val="17"/>
              </w:rPr>
              <w:t>Document Submission &amp; Naming</w:t>
            </w:r>
          </w:p>
        </w:tc>
        <w:tc>
          <w:tcPr>
            <w:tcW w:type="dxa" w:w="2340"/>
            <w:shd w:fill="FFFFFF"/>
          </w:tcPr>
          <w:p>
            <w:r>
              <w:rPr>
                <w:sz w:val="17"/>
              </w:rPr>
              <w:t>5</w:t>
            </w:r>
          </w:p>
        </w:tc>
        <w:tc>
          <w:tcPr>
            <w:tcW w:type="dxa" w:w="2340"/>
            <w:shd w:fill="FFFFFF"/>
          </w:tcPr>
          <w:p>
            <w:r>
              <w:rPr>
                <w:sz w:val="17"/>
              </w:rPr>
              <w:t>Submitted Google Doc / Drive document named strictly following the required convention (Nebyu_AI: DevOps Philosophy and Tool Interrogation). Contains Prompt, Screenshot, Reflection, and GitHub Link.</w:t>
            </w:r>
          </w:p>
        </w:tc>
        <w:tc>
          <w:tcPr>
            <w:tcW w:type="dxa" w:w="2340"/>
            <w:shd w:fill="FFFFFF"/>
          </w:tcPr>
          <w:p>
            <w:r>
              <w:rPr>
                <w:b/>
                <w:color w:val="22543D"/>
                <w:sz w:val="17"/>
              </w:rPr>
              <w:t>5 / 5</w:t>
            </w:r>
          </w:p>
        </w:tc>
      </w:tr>
      <w:tr>
        <w:tc>
          <w:tcPr>
            <w:tcW w:type="dxa" w:w="2340"/>
            <w:shd w:fill="F7FAFC"/>
          </w:tcPr>
          <w:p>
            <w:r>
              <w:rPr>
                <w:b/>
                <w:sz w:val="17"/>
              </w:rPr>
              <w:t>Prompt Formulation &amp; Evidence</w:t>
            </w:r>
          </w:p>
        </w:tc>
        <w:tc>
          <w:tcPr>
            <w:tcW w:type="dxa" w:w="2340"/>
            <w:shd w:fill="F7FAFC"/>
          </w:tcPr>
          <w:p>
            <w:r>
              <w:rPr>
                <w:sz w:val="17"/>
              </w:rPr>
              <w:t>5</w:t>
            </w:r>
          </w:p>
        </w:tc>
        <w:tc>
          <w:tcPr>
            <w:tcW w:type="dxa" w:w="2340"/>
            <w:shd w:fill="F7FAFC"/>
          </w:tcPr>
          <w:p>
            <w:r>
              <w:rPr>
                <w:sz w:val="17"/>
              </w:rPr>
              <w:t>Accurate prompt formulation documented verbatim. Single high-resolution screenshot fully captures the AI's complete comparative explanation without cropping.</w:t>
            </w:r>
          </w:p>
        </w:tc>
        <w:tc>
          <w:tcPr>
            <w:tcW w:type="dxa" w:w="2340"/>
            <w:shd w:fill="F7FAFC"/>
          </w:tcPr>
          <w:p>
            <w:r>
              <w:rPr>
                <w:b/>
                <w:color w:val="22543D"/>
                <w:sz w:val="17"/>
              </w:rPr>
              <w:t>5 / 5</w:t>
            </w:r>
          </w:p>
        </w:tc>
      </w:tr>
      <w:tr>
        <w:tc>
          <w:tcPr>
            <w:tcW w:type="dxa" w:w="2340"/>
            <w:shd w:fill="FFFFFF"/>
          </w:tcPr>
          <w:p>
            <w:r>
              <w:rPr>
                <w:b/>
                <w:sz w:val="17"/>
              </w:rPr>
              <w:t>Reflection &amp; Idempotence Analysis</w:t>
            </w:r>
          </w:p>
        </w:tc>
        <w:tc>
          <w:tcPr>
            <w:tcW w:type="dxa" w:w="2340"/>
            <w:shd w:fill="FFFFFF"/>
          </w:tcPr>
          <w:p>
            <w:r>
              <w:rPr>
                <w:sz w:val="17"/>
              </w:rPr>
              <w:t>5</w:t>
            </w:r>
          </w:p>
        </w:tc>
        <w:tc>
          <w:tcPr>
            <w:tcW w:type="dxa" w:w="2340"/>
            <w:shd w:fill="FFFFFF"/>
          </w:tcPr>
          <w:p>
            <w:r>
              <w:rPr>
                <w:sz w:val="17"/>
              </w:rPr>
              <w:t>Detailed, insightful 2-paragraph reflection analyzing Idempotence mechanisms, configuration drift prevention, and the operational necessity for managing 1,000 servers.</w:t>
            </w:r>
          </w:p>
        </w:tc>
        <w:tc>
          <w:tcPr>
            <w:tcW w:type="dxa" w:w="2340"/>
            <w:shd w:fill="FFFFFF"/>
          </w:tcPr>
          <w:p>
            <w:r>
              <w:rPr>
                <w:b/>
                <w:color w:val="22543D"/>
                <w:sz w:val="17"/>
              </w:rPr>
              <w:t>5 / 5</w:t>
            </w:r>
          </w:p>
        </w:tc>
      </w:tr>
      <w:tr>
        <w:tc>
          <w:tcPr>
            <w:tcW w:type="dxa" w:w="2340"/>
            <w:shd w:fill="F7FAFC"/>
          </w:tcPr>
          <w:p>
            <w:r>
              <w:rPr>
                <w:b/>
                <w:sz w:val="17"/>
              </w:rPr>
              <w:t>GitHub Repository Update</w:t>
            </w:r>
          </w:p>
        </w:tc>
        <w:tc>
          <w:tcPr>
            <w:tcW w:type="dxa" w:w="2340"/>
            <w:shd w:fill="F7FAFC"/>
          </w:tcPr>
          <w:p>
            <w:r>
              <w:rPr>
                <w:sz w:val="17"/>
              </w:rPr>
              <w:t>5</w:t>
            </w:r>
          </w:p>
        </w:tc>
        <w:tc>
          <w:tcPr>
            <w:tcW w:type="dxa" w:w="2340"/>
            <w:shd w:fill="F7FAFC"/>
          </w:tcPr>
          <w:p>
            <w:r>
              <w:rPr>
                <w:sz w:val="17"/>
              </w:rPr>
              <w:t>Direct public GitHub link to dedicated task folder containing analysis.txt, README.md, screenshot, and PDF report.</w:t>
            </w:r>
          </w:p>
        </w:tc>
        <w:tc>
          <w:tcPr>
            <w:tcW w:type="dxa" w:w="2340"/>
            <w:shd w:fill="F7FAFC"/>
          </w:tcPr>
          <w:p>
            <w:r>
              <w:rPr>
                <w:b/>
                <w:color w:val="22543D"/>
                <w:sz w:val="17"/>
              </w:rPr>
              <w:t>5 / 5</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