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next-phase-master-plan"/>
    <w:p>
      <w:pPr>
        <w:pStyle w:val="Heading1"/>
      </w:pPr>
      <w:r>
        <w:t xml:space="preserve">Next Phase Master Plan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April 5, 2026</w:t>
      </w:r>
    </w:p>
    <w:p>
      <w:pPr>
        <w:pStyle w:val="BodyText"/>
      </w:pPr>
      <w:r>
        <w:t xml:space="preserve">This document is the post-upgrade master plan for the study. It assumes the current benchmark truth remains unchanged and uses the upgraded Codex layer to reduce ambiguity in the next research phase.</w:t>
      </w:r>
    </w:p>
    <w:p>
      <w:pPr>
        <w:pStyle w:val="BlockText"/>
      </w:pPr>
      <w:r>
        <w:t xml:space="preserve">Update, April 7, 2026:</w:t>
      </w:r>
      <w:r>
        <w:t xml:space="preserve"> </w:t>
      </w:r>
      <w:r>
        <w:t xml:space="preserve">The fresh Colab V7 confirmatory rerun has now been completed successfully at</w:t>
      </w:r>
      <w:r>
        <w:t xml:space="preserve"> </w:t>
      </w:r>
      <w:r>
        <w:rPr>
          <w:rStyle w:val="VerbatimChar"/>
        </w:rPr>
        <w:t xml:space="preserve">72.89%</w:t>
      </w:r>
      <w:r>
        <w:t xml:space="preserve"> </w:t>
      </w:r>
      <w:r>
        <w:t xml:space="preserve">best validation and</w:t>
      </w:r>
      <w:r>
        <w:t xml:space="preserve"> </w:t>
      </w:r>
      <w:r>
        <w:rPr>
          <w:rStyle w:val="VerbatimChar"/>
        </w:rPr>
        <w:t xml:space="preserve">72.53%</w:t>
      </w:r>
      <w:r>
        <w:t xml:space="preserve"> </w:t>
      </w:r>
      <w:r>
        <w:t xml:space="preserve">test accuracy.</w:t>
      </w:r>
      <w:r>
        <w:t xml:space="preserve"> </w:t>
      </w:r>
      <w:r>
        <w:t xml:space="preserve">Remaining Colab budget is approximately</w:t>
      </w:r>
      <w:r>
        <w:t xml:space="preserve"> </w:t>
      </w:r>
      <w:r>
        <w:rPr>
          <w:rStyle w:val="VerbatimChar"/>
        </w:rPr>
        <w:t xml:space="preserve">145</w:t>
      </w:r>
      <w:r>
        <w:t xml:space="preserve"> </w:t>
      </w:r>
      <w:r>
        <w:t xml:space="preserve">computing units.</w:t>
      </w:r>
      <w:r>
        <w:t xml:space="preserve"> </w:t>
      </w:r>
      <w:r>
        <w:t xml:space="preserve">Default policy is now low-compute mode: do not start another Colab training run unless it changes the paper decision boundary.</w:t>
      </w:r>
    </w:p>
    <w:bookmarkStart w:id="9" w:name="Xa3a2c5c736773e48aed54337d6ce1658f780493"/>
    <w:p>
      <w:pPr>
        <w:pStyle w:val="Heading2"/>
      </w:pPr>
      <w:r>
        <w:t xml:space="preserve">1. Immediate Operating Sequence</w:t>
      </w:r>
    </w:p>
    <w:p>
      <w:pPr>
        <w:pStyle w:val="FirstParagraph"/>
      </w:pPr>
      <w:r>
        <w:t xml:space="preserve">These are the next exact actions, in order: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Sync the remaining fresh V7 rerun artifacts from Drive/Colab into the local repo</w:t>
      </w:r>
    </w:p>
    <w:p>
      <w:pPr>
        <w:pStyle w:val="Compact"/>
        <w:numPr>
          <w:ilvl w:val="1"/>
          <w:numId w:val="1002"/>
        </w:numPr>
      </w:pPr>
      <w:r>
        <w:t xml:space="preserve">Goal: complete the artifact picture by recovering the remote</w:t>
      </w:r>
      <w:r>
        <w:t xml:space="preserve"> </w:t>
      </w:r>
      <w:r>
        <w:rPr>
          <w:rStyle w:val="VerbatimChar"/>
        </w:rPr>
        <w:t xml:space="preserve">experiments/v7_*</w:t>
      </w:r>
      <w:r>
        <w:t xml:space="preserve"> </w:t>
      </w:r>
      <w:r>
        <w:t xml:space="preserve">folder, since the Drive-backed checkpoint files are now already synced locally.</w:t>
      </w:r>
    </w:p>
    <w:p>
      <w:pPr>
        <w:pStyle w:val="Compact"/>
        <w:numPr>
          <w:ilvl w:val="1"/>
          <w:numId w:val="1002"/>
        </w:numPr>
      </w:pPr>
      <w:r>
        <w:t xml:space="preserve">Platform: local + Drive</w:t>
      </w:r>
    </w:p>
    <w:p>
      <w:pPr>
        <w:pStyle w:val="Compact"/>
        <w:numPr>
          <w:ilvl w:val="1"/>
          <w:numId w:val="1002"/>
        </w:numPr>
      </w:pPr>
      <w:r>
        <w:t xml:space="preserve">Paper impact: high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Reconcile the synced artifacts against the local benchmark tables</w:t>
      </w:r>
    </w:p>
    <w:p>
      <w:pPr>
        <w:pStyle w:val="Compact"/>
        <w:numPr>
          <w:ilvl w:val="1"/>
          <w:numId w:val="1003"/>
        </w:numPr>
      </w:pPr>
      <w:r>
        <w:t xml:space="preserve">Goal: keep</w:t>
      </w:r>
      <w:r>
        <w:t xml:space="preserve"> </w:t>
      </w:r>
      <w:r>
        <w:rPr>
          <w:rStyle w:val="VerbatimChar"/>
        </w:rPr>
        <w:t xml:space="preserve">experiments/*.json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docs/BENCHMARK_SUMMARY.md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docs/EXPERIMENTS.md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paper/draft.md</w:t>
      </w:r>
      <w:r>
        <w:t xml:space="preserve"> </w:t>
      </w:r>
      <w:r>
        <w:t xml:space="preserve">aligned.</w:t>
      </w:r>
    </w:p>
    <w:p>
      <w:pPr>
        <w:pStyle w:val="Compact"/>
        <w:numPr>
          <w:ilvl w:val="1"/>
          <w:numId w:val="1003"/>
        </w:numPr>
      </w:pPr>
      <w:r>
        <w:t xml:space="preserve">Platform: local</w:t>
      </w:r>
    </w:p>
    <w:p>
      <w:pPr>
        <w:pStyle w:val="Compact"/>
        <w:numPr>
          <w:ilvl w:val="1"/>
          <w:numId w:val="1003"/>
        </w:numPr>
      </w:pPr>
      <w:r>
        <w:t xml:space="preserve">Paper impact: high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Tighten the manuscript around the now-complete benchmark picture</w:t>
      </w:r>
    </w:p>
    <w:p>
      <w:pPr>
        <w:pStyle w:val="Compact"/>
        <w:numPr>
          <w:ilvl w:val="1"/>
          <w:numId w:val="1004"/>
        </w:numPr>
      </w:pPr>
      <w:r>
        <w:t xml:space="preserve">Goal: move the paper fully into benchmark + engineering-lessons mode and remove any remaining V7-centric phrasing.</w:t>
      </w:r>
    </w:p>
    <w:p>
      <w:pPr>
        <w:pStyle w:val="Compact"/>
        <w:numPr>
          <w:ilvl w:val="1"/>
          <w:numId w:val="1004"/>
        </w:numPr>
      </w:pPr>
      <w:r>
        <w:t xml:space="preserve">Platform: local</w:t>
      </w:r>
    </w:p>
    <w:p>
      <w:pPr>
        <w:pStyle w:val="Compact"/>
        <w:numPr>
          <w:ilvl w:val="1"/>
          <w:numId w:val="1004"/>
        </w:numPr>
      </w:pPr>
      <w:r>
        <w:t xml:space="preserve">Paper impact: high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Refresh advisor / submission / Word export artifacts</w:t>
      </w:r>
    </w:p>
    <w:p>
      <w:pPr>
        <w:pStyle w:val="Compact"/>
        <w:numPr>
          <w:ilvl w:val="1"/>
          <w:numId w:val="1005"/>
        </w:numPr>
      </w:pPr>
      <w:r>
        <w:t xml:space="preserve">Goal: keep shareable documents synchronized with the post-rerun benchmark truth.</w:t>
      </w:r>
    </w:p>
    <w:p>
      <w:pPr>
        <w:pStyle w:val="Compact"/>
        <w:numPr>
          <w:ilvl w:val="1"/>
          <w:numId w:val="1005"/>
        </w:numPr>
      </w:pPr>
      <w:r>
        <w:t xml:space="preserve">Platform: local</w:t>
      </w:r>
    </w:p>
    <w:p>
      <w:pPr>
        <w:pStyle w:val="Compact"/>
        <w:numPr>
          <w:ilvl w:val="1"/>
          <w:numId w:val="1005"/>
        </w:numPr>
      </w:pPr>
      <w:r>
        <w:t xml:space="preserve">Paper impact: medium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Re-evaluate whether any extra training is still worth compute</w:t>
      </w:r>
    </w:p>
    <w:p>
      <w:pPr>
        <w:pStyle w:val="Compact"/>
        <w:numPr>
          <w:ilvl w:val="1"/>
          <w:numId w:val="1006"/>
        </w:numPr>
      </w:pPr>
      <w:r>
        <w:t xml:space="preserve">Goal: default to no new Colab runs unless a new experiment would materially change reviewer resilience or the paper decision boundary.</w:t>
      </w:r>
    </w:p>
    <w:p>
      <w:pPr>
        <w:pStyle w:val="Compact"/>
        <w:numPr>
          <w:ilvl w:val="1"/>
          <w:numId w:val="1006"/>
        </w:numPr>
      </w:pPr>
      <w:r>
        <w:t xml:space="preserve">Platform: local planning only</w:t>
      </w:r>
    </w:p>
    <w:p>
      <w:pPr>
        <w:pStyle w:val="Compact"/>
        <w:numPr>
          <w:ilvl w:val="1"/>
          <w:numId w:val="1006"/>
        </w:numPr>
      </w:pPr>
      <w:r>
        <w:t xml:space="preserve">Paper impact: medium</w:t>
      </w:r>
    </w:p>
    <w:bookmarkEnd w:id="9"/>
    <w:bookmarkStart w:id="12" w:name="X50da0cdd6822ed7b07bb6a8786dff05d7c0f1f2"/>
    <w:p>
      <w:pPr>
        <w:pStyle w:val="Heading2"/>
      </w:pPr>
      <w:r>
        <w:t xml:space="preserve">2. Track A — Near-Term Publishable Route</w:t>
      </w:r>
    </w:p>
    <w:bookmarkStart w:id="10" w:name="goal"/>
    <w:p>
      <w:pPr>
        <w:pStyle w:val="Heading3"/>
      </w:pPr>
      <w:r>
        <w:t xml:space="preserve">Goal</w:t>
      </w:r>
    </w:p>
    <w:p>
      <w:pPr>
        <w:pStyle w:val="FirstParagraph"/>
      </w:pPr>
      <w:r>
        <w:t xml:space="preserve">Finish a credible Q2 / specialized-QML submission without implying unsupported quantum superiority.</w:t>
      </w:r>
    </w:p>
    <w:bookmarkEnd w:id="10"/>
    <w:bookmarkStart w:id="11" w:name="exact-task-order"/>
    <w:p>
      <w:pPr>
        <w:pStyle w:val="Heading3"/>
      </w:pPr>
      <w:r>
        <w:t xml:space="preserve">Exact Task Order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Artifact sync and V7 result reconciliation</w:t>
      </w:r>
    </w:p>
    <w:p>
      <w:pPr>
        <w:pStyle w:val="Compact"/>
        <w:numPr>
          <w:ilvl w:val="1"/>
          <w:numId w:val="1008"/>
        </w:numPr>
      </w:pPr>
      <w:r>
        <w:t xml:space="preserve">Platform: local + existing Drive artifacts</w:t>
      </w:r>
    </w:p>
    <w:p>
      <w:pPr>
        <w:pStyle w:val="Compact"/>
        <w:numPr>
          <w:ilvl w:val="1"/>
          <w:numId w:val="1008"/>
        </w:numPr>
      </w:pPr>
      <w:r>
        <w:t xml:space="preserve">Goal: pull the actual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experiments/v7_*</w:t>
      </w:r>
      <w:r>
        <w:t xml:space="preserve"> </w:t>
      </w:r>
      <w:r>
        <w:t xml:space="preserve">artifacts from Colab/Drive into the repo and replace any user-log-only placeholder records</w:t>
      </w:r>
    </w:p>
    <w:p>
      <w:pPr>
        <w:pStyle w:val="Compact"/>
        <w:numPr>
          <w:ilvl w:val="1"/>
          <w:numId w:val="1008"/>
        </w:numPr>
      </w:pPr>
      <w:r>
        <w:t xml:space="preserve">Paper impact: high</w:t>
      </w:r>
    </w:p>
    <w:p>
      <w:pPr>
        <w:pStyle w:val="Compact"/>
        <w:numPr>
          <w:ilvl w:val="1"/>
          <w:numId w:val="1008"/>
        </w:numPr>
      </w:pPr>
      <w:r>
        <w:t xml:space="preserve">Stop condition: complete once the rerun is backed by local artifact files rather than only reconstructed terminal output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Paper synchronization after the rerun</w:t>
      </w:r>
    </w:p>
    <w:p>
      <w:pPr>
        <w:pStyle w:val="Compact"/>
        <w:numPr>
          <w:ilvl w:val="1"/>
          <w:numId w:val="1009"/>
        </w:numPr>
      </w:pPr>
      <w:r>
        <w:t xml:space="preserve">Platform: local</w:t>
      </w:r>
    </w:p>
    <w:p>
      <w:pPr>
        <w:pStyle w:val="Compact"/>
        <w:numPr>
          <w:ilvl w:val="1"/>
          <w:numId w:val="1009"/>
        </w:numPr>
      </w:pPr>
      <w:r>
        <w:t xml:space="preserve">Tools:</w:t>
      </w:r>
      <w:r>
        <w:t xml:space="preserve"> </w:t>
      </w:r>
      <w:r>
        <w:rPr>
          <w:rStyle w:val="VerbatimChar"/>
        </w:rPr>
        <w:t xml:space="preserve">codex-paper-audit.sh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paper_writer</w:t>
      </w:r>
    </w:p>
    <w:p>
      <w:pPr>
        <w:pStyle w:val="Compact"/>
        <w:numPr>
          <w:ilvl w:val="1"/>
          <w:numId w:val="1009"/>
        </w:numPr>
      </w:pPr>
      <w:r>
        <w:t xml:space="preserve">Paper impact: high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Submission-facing document refresh</w:t>
      </w:r>
    </w:p>
    <w:p>
      <w:pPr>
        <w:pStyle w:val="Compact"/>
        <w:numPr>
          <w:ilvl w:val="1"/>
          <w:numId w:val="1010"/>
        </w:numPr>
      </w:pPr>
      <w:r>
        <w:t xml:space="preserve">Platform: local</w:t>
      </w:r>
    </w:p>
    <w:p>
      <w:pPr>
        <w:pStyle w:val="Compact"/>
        <w:numPr>
          <w:ilvl w:val="1"/>
          <w:numId w:val="1010"/>
        </w:numPr>
      </w:pPr>
      <w:r>
        <w:t xml:space="preserve">Tools:</w:t>
      </w:r>
      <w:r>
        <w:t xml:space="preserve"> </w:t>
      </w:r>
      <w:r>
        <w:rPr>
          <w:rStyle w:val="VerbatimChar"/>
        </w:rPr>
        <w:t xml:space="preserve">codex-artifact-pack.sh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export_docx.sh</w:t>
      </w:r>
    </w:p>
    <w:p>
      <w:pPr>
        <w:pStyle w:val="Compact"/>
        <w:numPr>
          <w:ilvl w:val="1"/>
          <w:numId w:val="1010"/>
        </w:numPr>
      </w:pPr>
      <w:r>
        <w:t xml:space="preserve">Paper impact: medium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Optional stronger compact classical baseline</w:t>
      </w:r>
    </w:p>
    <w:p>
      <w:pPr>
        <w:pStyle w:val="Compact"/>
        <w:numPr>
          <w:ilvl w:val="1"/>
          <w:numId w:val="1011"/>
        </w:numPr>
      </w:pPr>
      <w:r>
        <w:t xml:space="preserve">Candidate:</w:t>
      </w:r>
      <w:r>
        <w:t xml:space="preserve"> </w:t>
      </w:r>
      <w:r>
        <w:rPr>
          <w:rStyle w:val="VerbatimChar"/>
        </w:rPr>
        <w:t xml:space="preserve">resnet18_cifar_gray</w:t>
      </w:r>
    </w:p>
    <w:p>
      <w:pPr>
        <w:pStyle w:val="Compact"/>
        <w:numPr>
          <w:ilvl w:val="1"/>
          <w:numId w:val="1011"/>
        </w:numPr>
      </w:pPr>
      <w:r>
        <w:t xml:space="preserve">Platform: M4 first if feasible, Colab only if absolutely necessary</w:t>
      </w:r>
    </w:p>
    <w:p>
      <w:pPr>
        <w:pStyle w:val="Compact"/>
        <w:numPr>
          <w:ilvl w:val="1"/>
          <w:numId w:val="1011"/>
        </w:numPr>
      </w:pPr>
      <w:r>
        <w:t xml:space="preserve">Paper impact: medium to high</w:t>
      </w:r>
    </w:p>
    <w:p>
      <w:pPr>
        <w:pStyle w:val="Compact"/>
        <w:numPr>
          <w:ilvl w:val="1"/>
          <w:numId w:val="1011"/>
        </w:numPr>
      </w:pPr>
      <w:r>
        <w:t xml:space="preserve">Stop condition: skip if the reviewer-risk reduction does not justify the implementation cost or the remaining</w:t>
      </w:r>
      <w:r>
        <w:t xml:space="preserve"> </w:t>
      </w:r>
      <w:r>
        <w:rPr>
          <w:rStyle w:val="VerbatimChar"/>
        </w:rPr>
        <w:t xml:space="preserve">145</w:t>
      </w:r>
      <w:r>
        <w:t xml:space="preserve"> </w:t>
      </w:r>
      <w:r>
        <w:t xml:space="preserve">CU budget</w:t>
      </w:r>
    </w:p>
    <w:bookmarkEnd w:id="11"/>
    <w:bookmarkEnd w:id="12"/>
    <w:bookmarkStart w:id="16" w:name="X44426c72bc1fa874d9d3db48c78e4ab3628c77f"/>
    <w:p>
      <w:pPr>
        <w:pStyle w:val="Heading2"/>
      </w:pPr>
      <w:r>
        <w:t xml:space="preserve">3. Track B — Stronger Research Route</w:t>
      </w:r>
    </w:p>
    <w:bookmarkStart w:id="13" w:name="goal-1"/>
    <w:p>
      <w:pPr>
        <w:pStyle w:val="Heading3"/>
      </w:pPr>
      <w:r>
        <w:t xml:space="preserve">Goal</w:t>
      </w:r>
    </w:p>
    <w:p>
      <w:pPr>
        <w:pStyle w:val="FirstParagraph"/>
      </w:pPr>
      <w:r>
        <w:t xml:space="preserve">Move from a fair benchmark paper toward a stronger methodology paper.</w:t>
      </w:r>
    </w:p>
    <w:bookmarkEnd w:id="13"/>
    <w:bookmarkStart w:id="14" w:name="exact-task-order-1"/>
    <w:p>
      <w:pPr>
        <w:pStyle w:val="Heading3"/>
      </w:pPr>
      <w:r>
        <w:t xml:space="preserve">Exact Task Order</w:t>
      </w:r>
    </w:p>
    <w:p>
      <w:pPr>
        <w:pStyle w:val="Compact"/>
        <w:numPr>
          <w:ilvl w:val="0"/>
          <w:numId w:val="1012"/>
        </w:numPr>
      </w:pPr>
      <w:r>
        <w:t xml:space="preserve">Implement one stronger compact classical baseline</w:t>
      </w:r>
    </w:p>
    <w:p>
      <w:pPr>
        <w:pStyle w:val="Compact"/>
        <w:numPr>
          <w:ilvl w:val="0"/>
          <w:numId w:val="1012"/>
        </w:numPr>
      </w:pPr>
      <w:r>
        <w:t xml:space="preserve">Run a low-data scaling study before considering any second dataset</w:t>
      </w:r>
    </w:p>
    <w:p>
      <w:pPr>
        <w:pStyle w:val="Compact"/>
        <w:numPr>
          <w:ilvl w:val="0"/>
          <w:numId w:val="1012"/>
        </w:numPr>
      </w:pPr>
      <w:r>
        <w:t xml:space="preserve">Only if low-data results are weak or ambiguous, add a second dataset</w:t>
      </w:r>
    </w:p>
    <w:p>
      <w:pPr>
        <w:pStyle w:val="Compact"/>
        <w:numPr>
          <w:ilvl w:val="0"/>
          <w:numId w:val="1012"/>
        </w:numPr>
      </w:pPr>
      <w:r>
        <w:t xml:space="preserve">Only after those results exist, reassess whether any narrow regime claim for quantum competitiveness is defendable</w:t>
      </w:r>
    </w:p>
    <w:bookmarkEnd w:id="14"/>
    <w:bookmarkStart w:id="15" w:name="preferred-low-data-shortlist"/>
    <w:p>
      <w:pPr>
        <w:pStyle w:val="Heading3"/>
      </w:pPr>
      <w:r>
        <w:t xml:space="preserve">Preferred Low-Data Shortlist</w:t>
      </w:r>
    </w:p>
    <w:p>
      <w:pPr>
        <w:pStyle w:val="FirstParagraph"/>
      </w:pPr>
      <w:r>
        <w:t xml:space="preserve">The default low-data shortlist should compare: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thesis_cnniiii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thesis_hqnn2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classical_conv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non_trainable_quantum</w:t>
      </w:r>
    </w:p>
    <w:p>
      <w:pPr>
        <w:pStyle w:val="FirstParagraph"/>
      </w:pPr>
      <w:r>
        <w:t xml:space="preserve">Fractions:</w:t>
      </w:r>
    </w:p>
    <w:p>
      <w:pPr>
        <w:pStyle w:val="Compact"/>
        <w:numPr>
          <w:ilvl w:val="0"/>
          <w:numId w:val="1014"/>
        </w:numPr>
      </w:pPr>
      <w:r>
        <w:t xml:space="preserve">10%</w:t>
      </w:r>
    </w:p>
    <w:p>
      <w:pPr>
        <w:pStyle w:val="Compact"/>
        <w:numPr>
          <w:ilvl w:val="0"/>
          <w:numId w:val="1014"/>
        </w:numPr>
      </w:pPr>
      <w:r>
        <w:t xml:space="preserve">25%</w:t>
      </w:r>
    </w:p>
    <w:p>
      <w:pPr>
        <w:pStyle w:val="Compact"/>
        <w:numPr>
          <w:ilvl w:val="0"/>
          <w:numId w:val="1014"/>
        </w:numPr>
      </w:pPr>
      <w:r>
        <w:t xml:space="preserve">50%</w:t>
      </w:r>
    </w:p>
    <w:p>
      <w:pPr>
        <w:pStyle w:val="Compact"/>
        <w:numPr>
          <w:ilvl w:val="0"/>
          <w:numId w:val="1014"/>
        </w:numPr>
      </w:pPr>
      <w:r>
        <w:t xml:space="preserve">100%</w:t>
      </w:r>
    </w:p>
    <w:p>
      <w:pPr>
        <w:pStyle w:val="FirstParagraph"/>
      </w:pPr>
      <w:r>
        <w:t xml:space="preserve">Execution rule:</w:t>
      </w:r>
    </w:p>
    <w:p>
      <w:pPr>
        <w:pStyle w:val="Compact"/>
        <w:numPr>
          <w:ilvl w:val="0"/>
          <w:numId w:val="1015"/>
        </w:numPr>
      </w:pPr>
      <w:r>
        <w:t xml:space="preserve">start with a pilot pass</w:t>
      </w:r>
    </w:p>
    <w:p>
      <w:pPr>
        <w:pStyle w:val="Compact"/>
        <w:numPr>
          <w:ilvl w:val="0"/>
          <w:numId w:val="1015"/>
        </w:numPr>
      </w:pPr>
      <w:r>
        <w:t xml:space="preserve">only expand to full multi-seed if the pilot suggests a meaningful regime difference</w:t>
      </w:r>
    </w:p>
    <w:bookmarkEnd w:id="15"/>
    <w:bookmarkEnd w:id="16"/>
    <w:bookmarkStart w:id="17" w:name="X9befe1f93ecabe8221fa28f9ab21320bd7dbf19"/>
    <w:p>
      <w:pPr>
        <w:pStyle w:val="Heading2"/>
      </w:pPr>
      <w:r>
        <w:t xml:space="preserve">4. Compute Policy</w:t>
      </w:r>
    </w:p>
    <w:p>
      <w:pPr>
        <w:pStyle w:val="Compact"/>
        <w:numPr>
          <w:ilvl w:val="0"/>
          <w:numId w:val="1016"/>
        </w:numPr>
      </w:pPr>
      <w:r>
        <w:t xml:space="preserve">Keep Mac work for M4-feasible benchmark and documentation tasks.</w:t>
      </w:r>
    </w:p>
    <w:p>
      <w:pPr>
        <w:pStyle w:val="Compact"/>
        <w:numPr>
          <w:ilvl w:val="0"/>
          <w:numId w:val="1016"/>
        </w:numPr>
      </w:pPr>
      <w:r>
        <w:t xml:space="preserve">The V7 confirmatory rerun is already complete; treat it as the last default Colab training spend unless new evidence justifies more.</w:t>
      </w:r>
    </w:p>
    <w:p>
      <w:pPr>
        <w:pStyle w:val="Compact"/>
        <w:numPr>
          <w:ilvl w:val="0"/>
          <w:numId w:val="1016"/>
        </w:numPr>
      </w:pPr>
      <w:r>
        <w:t xml:space="preserve">Current remaining budget is approximately</w:t>
      </w:r>
      <w:r>
        <w:t xml:space="preserve"> </w:t>
      </w:r>
      <w:r>
        <w:rPr>
          <w:rStyle w:val="VerbatimChar"/>
        </w:rPr>
        <w:t xml:space="preserve">145</w:t>
      </w:r>
      <w:r>
        <w:t xml:space="preserve"> </w:t>
      </w:r>
      <w:r>
        <w:t xml:space="preserve">computing units.</w:t>
      </w:r>
    </w:p>
    <w:p>
      <w:pPr>
        <w:pStyle w:val="Compact"/>
        <w:numPr>
          <w:ilvl w:val="0"/>
          <w:numId w:val="1016"/>
        </w:numPr>
      </w:pPr>
      <w:r>
        <w:t xml:space="preserve">Do not spend additional Colab units on work already completed under the publication benchmark protocol.</w:t>
      </w:r>
    </w:p>
    <w:p>
      <w:pPr>
        <w:pStyle w:val="Compact"/>
        <w:numPr>
          <w:ilvl w:val="0"/>
          <w:numId w:val="1016"/>
        </w:numPr>
      </w:pPr>
      <w:r>
        <w:t xml:space="preserve">Prefer zero-CU work now: artifact sync, reconciliation, manuscript tightening, and submission package cleanup.</w:t>
      </w:r>
    </w:p>
    <w:p>
      <w:pPr>
        <w:pStyle w:val="Compact"/>
        <w:numPr>
          <w:ilvl w:val="0"/>
          <w:numId w:val="1016"/>
        </w:numPr>
      </w:pPr>
      <w:r>
        <w:t xml:space="preserve">Delay broader extension work until the rerun artifacts are synced and the manuscript is updated.</w:t>
      </w:r>
    </w:p>
    <w:bookmarkEnd w:id="17"/>
    <w:bookmarkStart w:id="18" w:name="X430ef8130e9dabdbff8aea5a29e640c24107e5c"/>
    <w:p>
      <w:pPr>
        <w:pStyle w:val="Heading2"/>
      </w:pPr>
      <w:r>
        <w:t xml:space="preserve">5. Current Stop Conditions</w:t>
      </w:r>
    </w:p>
    <w:p>
      <w:pPr>
        <w:pStyle w:val="FirstParagraph"/>
      </w:pPr>
      <w:r>
        <w:t xml:space="preserve">Stop expanding the trainable-quantum branch if:</w:t>
      </w:r>
    </w:p>
    <w:p>
      <w:pPr>
        <w:pStyle w:val="Compact"/>
        <w:numPr>
          <w:ilvl w:val="0"/>
          <w:numId w:val="1017"/>
        </w:numPr>
      </w:pPr>
      <w:r>
        <w:t xml:space="preserve">the fresh V7 rerun remains clearly below the strongest classical anchors, and</w:t>
      </w:r>
    </w:p>
    <w:p>
      <w:pPr>
        <w:pStyle w:val="Compact"/>
        <w:numPr>
          <w:ilvl w:val="0"/>
          <w:numId w:val="1017"/>
        </w:numPr>
      </w:pPr>
      <w:r>
        <w:t xml:space="preserve">the paper contribution is already defensible as a benchmark + engineering paper without more V7 seeds</w:t>
      </w:r>
    </w:p>
    <w:p>
      <w:pPr>
        <w:pStyle w:val="Compact"/>
        <w:numPr>
          <w:ilvl w:val="0"/>
          <w:numId w:val="1017"/>
        </w:numPr>
      </w:pPr>
      <w:r>
        <w:t xml:space="preserve">or the expected information gain does not justify spending the remaining</w:t>
      </w:r>
      <w:r>
        <w:t xml:space="preserve"> </w:t>
      </w:r>
      <w:r>
        <w:rPr>
          <w:rStyle w:val="VerbatimChar"/>
        </w:rPr>
        <w:t xml:space="preserve">145</w:t>
      </w:r>
      <w:r>
        <w:t xml:space="preserve"> </w:t>
      </w:r>
      <w:r>
        <w:t xml:space="preserve">CU budget</w:t>
      </w:r>
    </w:p>
    <w:p>
      <w:pPr>
        <w:pStyle w:val="FirstParagraph"/>
      </w:pPr>
      <w:r>
        <w:t xml:space="preserve">Stop expanding the publication benchmark if:</w:t>
      </w:r>
    </w:p>
    <w:p>
      <w:pPr>
        <w:pStyle w:val="Compact"/>
        <w:numPr>
          <w:ilvl w:val="0"/>
          <w:numId w:val="1018"/>
        </w:numPr>
      </w:pPr>
      <w:r>
        <w:t xml:space="preserve">the next added baseline does not materially change reviewer resilience, or</w:t>
      </w:r>
    </w:p>
    <w:p>
      <w:pPr>
        <w:pStyle w:val="Compact"/>
        <w:numPr>
          <w:ilvl w:val="0"/>
          <w:numId w:val="1018"/>
        </w:numPr>
      </w:pPr>
      <w:r>
        <w:t xml:space="preserve">the new result does not improve the paper narrative enough to justify the engineering time</w:t>
      </w:r>
    </w:p>
    <w:bookmarkEnd w:id="18"/>
    <w:bookmarkStart w:id="19" w:name="X1150687e403e4474f664b3e7af0f3977fc50063"/>
    <w:p>
      <w:pPr>
        <w:pStyle w:val="Heading2"/>
      </w:pPr>
      <w:r>
        <w:t xml:space="preserve">6. Current Default Conclusion</w:t>
      </w:r>
    </w:p>
    <w:p>
      <w:pPr>
        <w:pStyle w:val="FirstParagraph"/>
      </w:pPr>
      <w:r>
        <w:t xml:space="preserve">Until new evidence changes it, the repo should operate under this conclusion:</w:t>
      </w:r>
    </w:p>
    <w:p>
      <w:pPr>
        <w:pStyle w:val="Compact"/>
        <w:numPr>
          <w:ilvl w:val="0"/>
          <w:numId w:val="1019"/>
        </w:numPr>
      </w:pPr>
      <w:r>
        <w:t xml:space="preserve">strongest thesis-faithful evidence:</w:t>
      </w:r>
      <w:r>
        <w:t xml:space="preserve"> </w:t>
      </w:r>
      <w:r>
        <w:rPr>
          <w:rStyle w:val="VerbatimChar"/>
        </w:rPr>
        <w:t xml:space="preserve">thesis_cnniiii</w:t>
      </w:r>
    </w:p>
    <w:p>
      <w:pPr>
        <w:pStyle w:val="Compact"/>
        <w:numPr>
          <w:ilvl w:val="0"/>
          <w:numId w:val="1019"/>
        </w:numPr>
      </w:pPr>
      <w:r>
        <w:t xml:space="preserve">strongest current-local matched-budget evidence:</w:t>
      </w:r>
      <w:r>
        <w:t xml:space="preserve"> </w:t>
      </w:r>
      <w:r>
        <w:rPr>
          <w:rStyle w:val="VerbatimChar"/>
        </w:rPr>
        <w:t xml:space="preserve">classical_conv</w:t>
      </w:r>
    </w:p>
    <w:p>
      <w:pPr>
        <w:pStyle w:val="Compact"/>
        <w:numPr>
          <w:ilvl w:val="0"/>
          <w:numId w:val="1019"/>
        </w:numPr>
      </w:pPr>
      <w:r>
        <w:t xml:space="preserve">strongest current trainable-quantum value: engineering insight, not benchmark leadership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2026-04-07T18:17:04Z</dcterms:created>
  <dcterms:modified xsi:type="dcterms:W3CDTF">2026-04-07T18:17:04Z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