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7ce4adcf8848b6eb68d64d0f510081f6eb1659"/>
    <w:p>
      <w:pPr>
        <w:pStyle w:val="Heading1"/>
      </w:pPr>
      <w:r>
        <w:t xml:space="preserve">Fair Benchmarking and Engineering Lessons for Quanvolutional Neural Networks on Ottoman-Turkish Handwritten Character Recognition</w:t>
      </w:r>
    </w:p>
    <w:p>
      <w:pPr>
        <w:pStyle w:val="BlockText"/>
      </w:pPr>
      <w:r>
        <w:t xml:space="preserve">Editorial status note, April 7, 2026:</w:t>
      </w:r>
      <w:r>
        <w:t xml:space="preserve"> </w:t>
      </w:r>
      <w:r>
        <w:t xml:space="preserve">This draft still reflects the older V7-centered manuscript state and is not submission-ready in its current form.</w:t>
      </w:r>
      <w:r>
        <w:t xml:space="preserve"> </w:t>
      </w:r>
      <w:r>
        <w:t xml:space="preserve">The current benchmark picture is now:</w:t>
      </w:r>
    </w:p>
    <w:p>
      <w:pPr>
        <w:pStyle w:val="Compact"/>
        <w:numPr>
          <w:ilvl w:val="0"/>
          <w:numId w:val="1001"/>
        </w:numPr>
      </w:pPr>
      <w:r>
        <w:rPr>
          <w:rStyle w:val="VerbatimChar"/>
        </w:rPr>
        <w:t xml:space="preserve">thesis_cnniiii</w:t>
      </w:r>
      <w:r>
        <w:t xml:space="preserve">:</w:t>
      </w:r>
      <w:r>
        <w:t xml:space="preserve"> </w:t>
      </w:r>
      <w:r>
        <w:rPr>
          <w:rStyle w:val="VerbatimChar"/>
        </w:rPr>
        <w:t xml:space="preserve">85.26 ± 0.97</w:t>
      </w:r>
      <w:r>
        <w:t xml:space="preserve"> </w:t>
      </w:r>
      <w:r>
        <w:t xml:space="preserve">test</w:t>
      </w:r>
    </w:p>
    <w:p>
      <w:pPr>
        <w:pStyle w:val="Compact"/>
        <w:numPr>
          <w:ilvl w:val="0"/>
          <w:numId w:val="1001"/>
        </w:numPr>
      </w:pPr>
      <w:r>
        <w:rPr>
          <w:rStyle w:val="VerbatimChar"/>
        </w:rPr>
        <w:t xml:space="preserve">classical_conv</w:t>
      </w:r>
      <w:r>
        <w:t xml:space="preserve">:</w:t>
      </w:r>
      <w:r>
        <w:t xml:space="preserve"> </w:t>
      </w:r>
      <w:r>
        <w:rPr>
          <w:rStyle w:val="VerbatimChar"/>
        </w:rPr>
        <w:t xml:space="preserve">81.40 ± 1.06</w:t>
      </w:r>
      <w:r>
        <w:t xml:space="preserve"> </w:t>
      </w:r>
      <w:r>
        <w:t xml:space="preserve">test</w:t>
      </w:r>
    </w:p>
    <w:p>
      <w:pPr>
        <w:pStyle w:val="Compact"/>
        <w:numPr>
          <w:ilvl w:val="0"/>
          <w:numId w:val="1001"/>
        </w:numPr>
      </w:pPr>
      <w:r>
        <w:rPr>
          <w:rStyle w:val="VerbatimChar"/>
        </w:rPr>
        <w:t xml:space="preserve">param_linear</w:t>
      </w:r>
      <w:r>
        <w:t xml:space="preserve">:</w:t>
      </w:r>
      <w:r>
        <w:t xml:space="preserve"> </w:t>
      </w:r>
      <w:r>
        <w:rPr>
          <w:rStyle w:val="VerbatimChar"/>
        </w:rPr>
        <w:t xml:space="preserve">81.12 ± 2.27</w:t>
      </w:r>
      <w:r>
        <w:t xml:space="preserve"> </w:t>
      </w:r>
      <w:r>
        <w:t xml:space="preserve">test</w:t>
      </w:r>
    </w:p>
    <w:p>
      <w:pPr>
        <w:pStyle w:val="Compact"/>
        <w:numPr>
          <w:ilvl w:val="0"/>
          <w:numId w:val="1001"/>
        </w:numPr>
      </w:pPr>
      <w:r>
        <w:rPr>
          <w:rStyle w:val="VerbatimChar"/>
        </w:rPr>
        <w:t xml:space="preserve">non_trainable_quantum</w:t>
      </w:r>
      <w:r>
        <w:t xml:space="preserve">:</w:t>
      </w:r>
      <w:r>
        <w:t xml:space="preserve"> </w:t>
      </w:r>
      <w:r>
        <w:rPr>
          <w:rStyle w:val="VerbatimChar"/>
        </w:rPr>
        <w:t xml:space="preserve">80.40 ± 0.69</w:t>
      </w:r>
      <w:r>
        <w:t xml:space="preserve"> </w:t>
      </w:r>
      <w:r>
        <w:t xml:space="preserve">test</w:t>
      </w:r>
    </w:p>
    <w:p>
      <w:pPr>
        <w:pStyle w:val="Compact"/>
        <w:numPr>
          <w:ilvl w:val="0"/>
          <w:numId w:val="1001"/>
        </w:numPr>
      </w:pPr>
      <w:r>
        <w:rPr>
          <w:rStyle w:val="VerbatimChar"/>
        </w:rPr>
        <w:t xml:space="preserve">thesis_hqnn2</w:t>
      </w:r>
      <w:r>
        <w:t xml:space="preserve">:</w:t>
      </w:r>
      <w:r>
        <w:t xml:space="preserve"> </w:t>
      </w:r>
      <w:r>
        <w:rPr>
          <w:rStyle w:val="VerbatimChar"/>
        </w:rPr>
        <w:t xml:space="preserve">78.61 ± 0.69</w:t>
      </w:r>
      <w:r>
        <w:t xml:space="preserve"> </w:t>
      </w:r>
      <w:r>
        <w:t xml:space="preserve">test</w:t>
      </w:r>
    </w:p>
    <w:p>
      <w:pPr>
        <w:pStyle w:val="Compact"/>
        <w:numPr>
          <w:ilvl w:val="0"/>
          <w:numId w:val="1001"/>
        </w:numPr>
      </w:pPr>
      <w:r>
        <w:t xml:space="preserve">fresh</w:t>
      </w:r>
      <w:r>
        <w:t xml:space="preserve"> </w:t>
      </w:r>
      <w:r>
        <w:rPr>
          <w:rStyle w:val="VerbatimChar"/>
        </w:rPr>
        <w:t xml:space="preserve">V7 trainable quantum</w:t>
      </w:r>
      <w:r>
        <w:t xml:space="preserve"> </w:t>
      </w:r>
      <w:r>
        <w:t xml:space="preserve">Colab rerun:</w:t>
      </w:r>
      <w:r>
        <w:t xml:space="preserve"> </w:t>
      </w:r>
      <w:r>
        <w:rPr>
          <w:rStyle w:val="VerbatimChar"/>
        </w:rPr>
        <w:t xml:space="preserve">72.53%</w:t>
      </w:r>
      <w:r>
        <w:t xml:space="preserve"> </w:t>
      </w:r>
      <w:r>
        <w:t xml:space="preserve">test</w:t>
      </w:r>
    </w:p>
    <w:p>
      <w:pPr>
        <w:pStyle w:val="Compact"/>
        <w:numPr>
          <w:ilvl w:val="0"/>
          <w:numId w:val="1001"/>
        </w:numPr>
      </w:pPr>
      <w:r>
        <w:t xml:space="preserve">older documented</w:t>
      </w:r>
      <w:r>
        <w:t xml:space="preserve"> </w:t>
      </w:r>
      <w:r>
        <w:rPr>
          <w:rStyle w:val="VerbatimChar"/>
        </w:rPr>
        <w:t xml:space="preserve">V7 trainable quantum</w:t>
      </w:r>
      <w:r>
        <w:t xml:space="preserve">:</w:t>
      </w:r>
      <w:r>
        <w:t xml:space="preserve"> </w:t>
      </w:r>
      <w:r>
        <w:rPr>
          <w:rStyle w:val="VerbatimChar"/>
        </w:rPr>
        <w:t xml:space="preserve">65.02%</w:t>
      </w:r>
      <w:r>
        <w:t xml:space="preserve"> </w:t>
      </w:r>
      <w:r>
        <w:t xml:space="preserve">test</w:t>
      </w:r>
      <w:r>
        <w:t xml:space="preserve"> </w:t>
      </w:r>
      <w:r>
        <w:t xml:space="preserve">Therefore the paper must now be rewritten as a fair benchmark + engineering-lessons manuscript, not as a V7 accuracy-win manuscript.</w:t>
      </w:r>
      <w:r>
        <w:t xml:space="preserve"> </w:t>
      </w:r>
      <w:r>
        <w:t xml:space="preserve">Before using this draft for submission, reconcile claims against</w:t>
      </w:r>
      <w:r>
        <w:t xml:space="preserve"> </w:t>
      </w:r>
      <w:r>
        <w:rPr>
          <w:rStyle w:val="VerbatimChar"/>
        </w:rPr>
        <w:t xml:space="preserve">docs/SUBMISSION_BENCHMARK_2026-03-25.md</w:t>
      </w:r>
      <w:r>
        <w:t xml:space="preserve">,</w:t>
      </w:r>
      <w:r>
        <w:t xml:space="preserve"> </w:t>
      </w:r>
      <w:r>
        <w:rPr>
          <w:rStyle w:val="VerbatimChar"/>
        </w:rPr>
        <w:t xml:space="preserve">docs/PUBLICATION_STRATEGY_2026-03-22.md</w:t>
      </w:r>
      <w:r>
        <w:t xml:space="preserve">,</w:t>
      </w:r>
      <w:r>
        <w:t xml:space="preserve"> </w:t>
      </w:r>
      <w:r>
        <w:rPr>
          <w:rStyle w:val="VerbatimChar"/>
        </w:rPr>
        <w:t xml:space="preserve">docs/EXPERIMENTS.md</w:t>
      </w:r>
      <w:r>
        <w:t xml:space="preserve">, and</w:t>
      </w:r>
      <w:r>
        <w:t xml:space="preserve"> </w:t>
      </w:r>
      <w:r>
        <w:rPr>
          <w:rStyle w:val="VerbatimChar"/>
        </w:rPr>
        <w:t xml:space="preserve">experiments/*.json</w:t>
      </w:r>
      <w:r>
        <w:t xml:space="preserve">.</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extension of a master's-thesis study on quanvolutional neural networks for Ottoman-Turkish handwritten character recognition, a difficult 44-class low-data task with 3,894 grayscale samples. The study combines two complementary views of the problem: thesis-faithful model reproductions and current-local matched-budget ablations. Across multi-seed evaluation, the strongest reproduced evidence currently favors classical baselines rather than quantum variants. In the thesis-faithful family, the strongest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while the best reproduced thesis-faithful quantum baseline,</w:t>
      </w:r>
      <w:r>
        <w:t xml:space="preserve"> </w:t>
      </w:r>
      <w:r>
        <w:rPr>
          <w:rStyle w:val="VerbatimChar"/>
        </w:rPr>
        <w:t xml:space="preserve">thesis_hqnn2</w:t>
      </w:r>
      <w:r>
        <w:t xml:space="preserve">, reaches</w:t>
      </w:r>
      <w:r>
        <w:t xml:space="preserve"> </w:t>
      </w:r>
      <w:r>
        <w:rPr>
          <w:b/>
          <w:bCs/>
        </w:rPr>
        <w:t xml:space="preserve">78.61 ± 0.69%</w:t>
      </w:r>
      <w:r>
        <w:t xml:space="preserve">. In the current-local matched-budget family,</w:t>
      </w:r>
      <w:r>
        <w:t xml:space="preserve"> </w:t>
      </w:r>
      <w:r>
        <w:rPr>
          <w:rStyle w:val="VerbatimChar"/>
        </w:rPr>
        <w:t xml:space="preserve">classical_conv</w:t>
      </w:r>
      <w:r>
        <w:t xml:space="preserve"> </w:t>
      </w:r>
      <w:r>
        <w:t xml:space="preserve">reaches</w:t>
      </w:r>
      <w:r>
        <w:t xml:space="preserve"> </w:t>
      </w:r>
      <w:r>
        <w:rPr>
          <w:b/>
          <w:bCs/>
        </w:rPr>
        <w:t xml:space="preserve">81.40 ± 1.06%</w:t>
      </w:r>
      <w:r>
        <w:t xml:space="preserve">,</w:t>
      </w:r>
      <w:r>
        <w:t xml:space="preserve"> </w:t>
      </w:r>
      <w:r>
        <w:rPr>
          <w:rStyle w:val="VerbatimChar"/>
        </w:rPr>
        <w:t xml:space="preserve">param_linear</w:t>
      </w:r>
      <w:r>
        <w:t xml:space="preserve"> </w:t>
      </w:r>
      <w:r>
        <w:t xml:space="preserve">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A fresh Colab rerun of the stabilized trainable V7 path improves the trainable-quantum case-study result to</w:t>
      </w:r>
      <w:r>
        <w:t xml:space="preserve"> </w:t>
      </w:r>
      <w:r>
        <w:rPr>
          <w:b/>
          <w:bCs/>
        </w:rPr>
        <w:t xml:space="preserve">72.53%</w:t>
      </w:r>
      <w:r>
        <w:t xml:space="preserve"> </w:t>
      </w:r>
      <w:r>
        <w:t xml:space="preserve">test accuracy, up from the previously documented</w:t>
      </w:r>
      <w:r>
        <w:t xml:space="preserve"> </w:t>
      </w:r>
      <w:r>
        <w:rPr>
          <w:b/>
          <w:bCs/>
        </w:rPr>
        <w:t xml:space="preserve">65.02%</w:t>
      </w:r>
      <w:r>
        <w:t xml:space="preserve">, but still below the strongest classical baselines. We therefore do not claim a quantum advantage on this task. Instead, the scientific value of the work lies in three contributions: (1) a fair comparative benchmark that separates thesis-faithful and matched-budget families, (2) a trainable-quantum engineering case-study showing how information bottlenecks, gradient collapse, and optimizer/precision mistakes affect hybrid training, and (3) the documentation of a practical incompatibility between PyTorch AMP float16 autocasting and variational quantum circuit backpropagation at the quantum boundary.</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4"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A central concern in the QML community is the preponderance of positive results: papers demonstrating quantum enhancement while omitting systematic failure analysis [see Bowles et al., 2024]. This "positive bias" undermines reproducibility and obscures the true practical limits of near-term quantum machine learning. In this work, we deliberately adopt a failure-first methodology, documenting every architectural failure in detail alongside our eventual successes.</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cbf0c7d4d40e2aab761c8359a194795f53f734e"/>
    <w:p>
      <w:pPr>
        <w:pStyle w:val="Heading3"/>
      </w:pPr>
      <w:r>
        <w:t xml:space="preserve">1.1 Contributions</w:t>
      </w:r>
    </w:p>
    <w:p>
      <w:pPr>
        <w:pStyle w:val="FirstParagraph"/>
      </w:pPr>
      <w:r>
        <w:t xml:space="preserve">Our contributions are fourfold:</w:t>
      </w:r>
    </w:p>
    <w:p>
      <w:pPr>
        <w:numPr>
          <w:ilvl w:val="0"/>
          <w:numId w:val="1002"/>
        </w:numPr>
      </w:pPr>
      <w:r>
        <w:rPr>
          <w:b/>
          <w:bCs/>
        </w:rPr>
        <w:t xml:space="preserve">Reproducible Benchmark Structure.</w:t>
      </w:r>
      <w:r>
        <w:t xml:space="preserve"> </w:t>
      </w:r>
      <w:r>
        <w:t xml:space="preserve">We organize the study into two analytically separate families: thesis-faithful reproductions and current-local matched-budget ablations. This prevents misleading direct comparisons between differently sized or differently motivated models and yields an artifact-backed benchmark picture for the repository.</w:t>
      </w:r>
    </w:p>
    <w:p>
      <w:pPr>
        <w:numPr>
          <w:ilvl w:val="0"/>
          <w:numId w:val="1002"/>
        </w:numPr>
      </w:pPr>
      <w:r>
        <w:rPr>
          <w:b/>
          <w:bCs/>
        </w:rPr>
        <w:t xml:space="preserve">Negative-Result Benchmark Evidence.</w:t>
      </w:r>
      <w:r>
        <w:t xml:space="preserve"> </w:t>
      </w:r>
      <w:r>
        <w:t xml:space="preserve">We show that the strongest reproduced evidence on this 44-class task currently favors classical baselines. The best thesis-faithful model is classical (</w:t>
      </w:r>
      <w:r>
        <w:rPr>
          <w:rStyle w:val="VerbatimChar"/>
        </w:rPr>
        <w:t xml:space="preserve">thesis_cnniiii</w:t>
      </w:r>
      <w:r>
        <w:t xml:space="preserve">), and the best current-local matched-budget model is also classical (</w:t>
      </w:r>
      <w:r>
        <w:rPr>
          <w:rStyle w:val="VerbatimChar"/>
        </w:rPr>
        <w:t xml:space="preserve">classical_conv</w:t>
      </w:r>
      <w:r>
        <w:t xml:space="preserve">). This makes the work more honest and more informative than a selective "quantum win" narrative.</w:t>
      </w:r>
    </w:p>
    <w:p>
      <w:pPr>
        <w:numPr>
          <w:ilvl w:val="0"/>
          <w:numId w:val="1002"/>
        </w:numPr>
      </w:pPr>
      <w:r>
        <w:rPr>
          <w:b/>
          <w:bCs/>
        </w:rPr>
        <w:t xml:space="preserve">Information Bottleneck and Gradient Stabilization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AMP--PennyLane Incompatibility Documentation.</w:t>
      </w:r>
      <w:r>
        <w:t xml:space="preserve"> </w:t>
      </w:r>
      <w:r>
        <w:t xml:space="preserve">We identify and document a concrete failure mode in which PyTorch AMP float16 autocasting corrupts variational quantum circuit backpropagation unless float32 is restored at the quantum boundary and optimizer stepping remains GradScaler-aware.</w:t>
      </w:r>
    </w:p>
    <w:bookmarkEnd w:id="11"/>
    <w:bookmarkStart w:id="12" w:name="X97f9738d2e9e0056174234bde6e8a252fc751a3"/>
    <w:p>
      <w:pPr>
        <w:pStyle w:val="Heading3"/>
      </w:pPr>
      <w:r>
        <w:t xml:space="preserve">1.2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2"/>
    <w:bookmarkStart w:id="13" w:name="X25ab42087c6954e689a26dce9edf91841fe7833"/>
    <w:p>
      <w:pPr>
        <w:pStyle w:val="Heading3"/>
      </w:pPr>
      <w:r>
        <w:t xml:space="preserve">1.3 Paper Organization</w:t>
      </w:r>
    </w:p>
    <w:p>
      <w:pPr>
        <w:pStyle w:val="FirstParagraph"/>
      </w:pPr>
      <w:r>
        <w:t xml:space="preserve">Section 2 reviews related work. Section 3 describes the dataset, architectures, and training pipelines. Section 4 presents the benchmark results, separating thesis-faithful reproductions, current-local matched-budget ablations, and the trainable-quantum engineering case-study. Section 5 discusses the scientific implications of the benchmark picture. Section 6 concludes with realistic publication takeaways and future work.</w:t>
      </w:r>
    </w:p>
    <w:p>
      <w:r>
        <w:pict>
          <v:rect style="width:0;height:1.5pt" o:hralign="center" o:hrstd="t" o:hr="t"/>
        </w:pict>
      </w:r>
    </w:p>
    <w:bookmarkEnd w:id="13"/>
    <w:bookmarkEnd w:id="14"/>
    <w:bookmarkStart w:id="19" w:name="Xe831035363742a0c7957cffd683edc86db2e5da"/>
    <w:p>
      <w:pPr>
        <w:pStyle w:val="Heading2"/>
      </w:pPr>
      <w:r>
        <w:t xml:space="preserve">2. Related Work</w:t>
      </w:r>
    </w:p>
    <w:bookmarkStart w:id="15"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opening the question of whether learned quantum parameters provide a practical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5"/>
    <w:bookmarkStart w:id="16"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6"/>
    <w:bookmarkStart w:id="17"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7"/>
    <w:bookmarkStart w:id="18" w:name="X716166ba9f5f807b9c2d309402adedde0f40954"/>
    <w:p>
      <w:pPr>
        <w:pStyle w:val="Heading3"/>
      </w:pPr>
      <w:r>
        <w:t xml:space="preserve">2.4 Ottoman Script Recognition and Thesis Context</w:t>
      </w:r>
    </w:p>
    <w:p>
      <w:pPr>
        <w:pStyle w:val="FirstParagraph"/>
      </w:pPr>
      <w:r>
        <w:t xml:space="preserve">Ottoman-Turkish handwriting recognition is an active research area given the historical significance of Ottoman documents [9]. Classical deep learning approaches have achieved moderate success on limited datasets.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pPr>
        <w:pStyle w:val="BodyText"/>
      </w:pPr>
      <w:r>
        <w:rPr>
          <w:i/>
          <w:iCs/>
        </w:rPr>
        <w:t xml:space="preserve">[References [9] and [11] to be completed with full citations]</w:t>
      </w:r>
    </w:p>
    <w:p>
      <w:r>
        <w:pict>
          <v:rect style="width:0;height:1.5pt" o:hralign="center" o:hrstd="t" o:hr="t"/>
        </w:pict>
      </w:r>
    </w:p>
    <w:bookmarkEnd w:id="18"/>
    <w:bookmarkEnd w:id="19"/>
    <w:bookmarkStart w:id="37" w:name="Xeaf7af16e3e46fe44e45519dfa10bf831051975"/>
    <w:p>
      <w:pPr>
        <w:pStyle w:val="Heading2"/>
      </w:pPr>
      <w:r>
        <w:t xml:space="preserve">3. Methodology</w:t>
      </w:r>
    </w:p>
    <w:bookmarkStart w:id="22"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0"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0"/>
    <w:bookmarkStart w:id="21" w:name="X1a5c038794f1b1b12c53b231b4e80b4d60d0f32"/>
    <w:p>
      <w:pPr>
        <w:pStyle w:val="Heading4"/>
      </w:pPr>
      <w:r>
        <w:t xml:space="preserve">3.1.2 Benchmark Families</w:t>
      </w:r>
    </w:p>
    <w:p>
      <w:pPr>
        <w:pStyle w:val="FirstParagraph"/>
      </w:pPr>
      <w:r>
        <w:t xml:space="preserve">The methodology separates three families of evidence:</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1"/>
    <w:bookmarkEnd w:id="22"/>
    <w:bookmarkStart w:id="26"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3"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3"/>
    <w:bookmarkStart w:id="24"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4"/>
    <w:bookmarkStart w:id="25"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5"/>
    <w:bookmarkEnd w:id="26"/>
    <w:bookmarkStart w:id="31"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7"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7"/>
    <w:bookmarkStart w:id="28"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28"/>
    <w:bookmarkStart w:id="29"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29"/>
    <w:bookmarkStart w:id="30"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0"/>
    <w:bookmarkEnd w:id="31"/>
    <w:bookmarkStart w:id="35" w:name="X1bbc021b1a99eddd638220db5b72e13872864cc"/>
    <w:p>
      <w:pPr>
        <w:pStyle w:val="Heading3"/>
      </w:pPr>
      <w:r>
        <w:t xml:space="preserve">3.4 Training Pipeline</w:t>
      </w:r>
    </w:p>
    <w:bookmarkStart w:id="32"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2"/>
    <w:bookmarkStart w:id="33"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3"/>
    <w:bookmarkStart w:id="34"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4"/>
    <w:bookmarkEnd w:id="35"/>
    <w:bookmarkStart w:id="36"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fresh V7 Colab rerun shown in this paper uses batch size 128 and reaches its reported result after a 10-epoch budget on L4</w:t>
      </w:r>
    </w:p>
    <w:p>
      <w:r>
        <w:pict>
          <v:rect style="width:0;height:1.5pt" o:hralign="center" o:hrstd="t" o:hr="t"/>
        </w:pict>
      </w:r>
    </w:p>
    <w:bookmarkEnd w:id="36"/>
    <w:bookmarkEnd w:id="37"/>
    <w:bookmarkStart w:id="51" w:name="X53709fa5153a4a4de327f15c577ea87486ba4d4"/>
    <w:p>
      <w:pPr>
        <w:pStyle w:val="Heading2"/>
      </w:pPr>
      <w:r>
        <w:t xml:space="preserve">4. Experimental Results</w:t>
      </w:r>
    </w:p>
    <w:bookmarkStart w:id="38" w:name="X69c15b762d782ff2060e09b497e8ab4807efdc1"/>
    <w:p>
      <w:pPr>
        <w:pStyle w:val="Heading3"/>
      </w:pPr>
      <w:r>
        <w:t xml:space="preserve">4.1 Benchmark Snapshot</w:t>
      </w:r>
    </w:p>
    <w:p>
      <w:pPr>
        <w:pStyle w:val="FirstParagraph"/>
      </w:pPr>
      <w:r>
        <w:t xml:space="preserve">The benchmark picture must be read in three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38"/>
    <w:bookmarkStart w:id="39" w:name="X645b65c649412ced6681951dfeea96fcc837894"/>
    <w:p>
      <w:pPr>
        <w:pStyle w:val="Heading3"/>
      </w:pPr>
      <w:r>
        <w:t xml:space="preserve">4.2 Thesis-Faithful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39"/>
    <w:bookmarkStart w:id="40" w:name="X9a7b2ddd3badb18103d56acfc775a36c6433169"/>
    <w:p>
      <w:pPr>
        <w:pStyle w:val="Heading3"/>
      </w:pPr>
      <w:r>
        <w:t xml:space="preserve">4.3 Current-Local Matched-Budget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0"/>
    <w:bookmarkStart w:id="43" w:name="X79d32a99c646d6d71507c1d1bfd9749eca778e6"/>
    <w:p>
      <w:pPr>
        <w:pStyle w:val="Heading3"/>
      </w:pPr>
      <w:r>
        <w:t xml:space="preserve">4.4 Trainable-Quantum Engineering Case-Study</w:t>
      </w:r>
    </w:p>
    <w:p>
      <w:pPr>
        <w:pStyle w:val="FirstParagraph"/>
      </w:pPr>
      <w:r>
        <w:t xml:space="preserve">The V1--V7 line remains scientifically useful, but it should be interpreted as an engineering case-study rather than as the main benchmark winner. Its value lies in showing what failed, what became trainable, and why. The April 2026 Colab rerun materially improves the stabilized V7 result, so the engineering story should now be told using both the older documented run and the fresh rerun.</w:t>
      </w:r>
    </w:p>
    <w:bookmarkStart w:id="41" w:name="Xa83841ea7deaedf2d63facc5928abab67f1aa5e"/>
    <w:p>
      <w:pPr>
        <w:pStyle w:val="Heading4"/>
      </w:pPr>
      <w:r>
        <w:t xml:space="preserve">4.4.1 Architectural Evolution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r>
        <w:tc>
          <w:tcPr/>
          <w:p>
            <w:pPr>
              <w:pStyle w:val="Compact"/>
            </w:pPr>
            <w:r>
              <w:rPr>
                <w:b/>
                <w:bCs/>
              </w:rPr>
              <w:t xml:space="preserve">V7-Run3</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~13.1h / 10-epoch budget</w:t>
            </w:r>
          </w:p>
        </w:tc>
        <w:tc>
          <w:tcPr/>
          <w:p>
            <w:pPr>
              <w:pStyle w:val="Compact"/>
            </w:pPr>
            <w:r>
              <w:rPr>
                <w:b/>
                <w:bCs/>
              </w:rPr>
              <w:t xml:space="preserve">72.89%</w:t>
            </w:r>
          </w:p>
        </w:tc>
        <w:tc>
          <w:tcPr/>
          <w:p>
            <w:pPr>
              <w:pStyle w:val="Compact"/>
            </w:pPr>
            <w:r>
              <w:rPr>
                <w:b/>
                <w:bCs/>
              </w:rPr>
              <w:t xml:space="preserve">fresh Colab L4 confirmatory rerun; 72.53% test</w:t>
            </w:r>
          </w:p>
        </w:tc>
      </w:tr>
    </w:tbl>
    <w:bookmarkEnd w:id="41"/>
    <w:bookmarkStart w:id="42" w:name="Xd20f0a511df0a137201edddba69bc64f4a7e2a3"/>
    <w:p>
      <w:pPr>
        <w:pStyle w:val="Heading4"/>
      </w:pPr>
      <w:r>
        <w:t xml:space="preserve">4.4.2 Fresh Colab Rerun</w:t>
      </w:r>
    </w:p>
    <w:p>
      <w:pPr>
        <w:pStyle w:val="FirstParagraph"/>
      </w:pPr>
      <w:r>
        <w:t xml:space="preserve">Fresh epoch-by-epoch V7 rerun results for the</w:t>
      </w:r>
      <w:r>
        <w:t xml:space="preserve"> </w:t>
      </w:r>
      <w:r>
        <w:rPr>
          <w:rStyle w:val="VerbatimChar"/>
        </w:rPr>
        <w:t xml:space="preserve">data_reuploading</w:t>
      </w:r>
      <w:r>
        <w:t xml:space="preserve"> </w:t>
      </w:r>
      <w:r>
        <w:t xml:space="preserve">circuit on an L4 GPU: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3.5086</w:t>
            </w:r>
          </w:p>
        </w:tc>
        <w:tc>
          <w:tcPr/>
          <w:p>
            <w:pPr>
              <w:pStyle w:val="Compact"/>
            </w:pPr>
            <w:r>
              <w:t xml:space="preserve">9.33%</w:t>
            </w:r>
          </w:p>
        </w:tc>
        <w:tc>
          <w:tcPr/>
          <w:p>
            <w:pPr>
              <w:pStyle w:val="Compact"/>
            </w:pPr>
            <w:r>
              <w:t xml:space="preserve">23.62%</w:t>
            </w:r>
          </w:p>
        </w:tc>
        <w:tc>
          <w:tcPr/>
          <w:p>
            <w:pPr>
              <w:pStyle w:val="Compact"/>
            </w:pPr>
            <w:r>
              <w:t xml:space="preserve">8.21e-04</w:t>
            </w:r>
          </w:p>
        </w:tc>
        <w:tc>
          <w:tcPr/>
          <w:p>
            <w:pPr>
              <w:pStyle w:val="Compact"/>
            </w:pPr>
            <w:r>
              <w:t xml:space="preserve">2.03e-02</w:t>
            </w:r>
          </w:p>
        </w:tc>
        <w:tc>
          <w:tcPr/>
          <w:p>
            <w:pPr>
              <w:pStyle w:val="Compact"/>
            </w:pPr>
            <w:r>
              <w:t xml:space="preserve">0.1000</w:t>
            </w:r>
          </w:p>
        </w:tc>
      </w:tr>
      <w:tr>
        <w:tc>
          <w:tcPr/>
          <w:p>
            <w:pPr>
              <w:pStyle w:val="Compact"/>
            </w:pPr>
            <w:r>
              <w:t xml:space="preserve">2</w:t>
            </w:r>
          </w:p>
        </w:tc>
        <w:tc>
          <w:tcPr/>
          <w:p>
            <w:pPr>
              <w:pStyle w:val="Compact"/>
            </w:pPr>
            <w:r>
              <w:t xml:space="preserve">2.9550</w:t>
            </w:r>
          </w:p>
        </w:tc>
        <w:tc>
          <w:tcPr/>
          <w:p>
            <w:pPr>
              <w:pStyle w:val="Compact"/>
            </w:pPr>
            <w:r>
              <w:t xml:space="preserve">24.55%</w:t>
            </w:r>
          </w:p>
        </w:tc>
        <w:tc>
          <w:tcPr/>
          <w:p>
            <w:pPr>
              <w:pStyle w:val="Compact"/>
            </w:pPr>
            <w:r>
              <w:t xml:space="preserve">41.69%</w:t>
            </w:r>
          </w:p>
        </w:tc>
        <w:tc>
          <w:tcPr/>
          <w:p>
            <w:pPr>
              <w:pStyle w:val="Compact"/>
            </w:pPr>
            <w:r>
              <w:t xml:space="preserve">1.19e-01</w:t>
            </w:r>
          </w:p>
        </w:tc>
        <w:tc>
          <w:tcPr/>
          <w:p>
            <w:pPr>
              <w:pStyle w:val="Compact"/>
            </w:pPr>
            <w:r>
              <w:t xml:space="preserve">1.17e-01</w:t>
            </w:r>
          </w:p>
        </w:tc>
        <w:tc>
          <w:tcPr/>
          <w:p>
            <w:pPr>
              <w:pStyle w:val="Compact"/>
            </w:pPr>
            <w:r>
              <w:t xml:space="preserve">0.1001</w:t>
            </w:r>
          </w:p>
        </w:tc>
      </w:tr>
      <w:tr>
        <w:tc>
          <w:tcPr/>
          <w:p>
            <w:pPr>
              <w:pStyle w:val="Compact"/>
            </w:pPr>
            <w:r>
              <w:t xml:space="preserve">3</w:t>
            </w:r>
          </w:p>
        </w:tc>
        <w:tc>
          <w:tcPr/>
          <w:p>
            <w:pPr>
              <w:pStyle w:val="Compact"/>
            </w:pPr>
            <w:r>
              <w:t xml:space="preserve">2.5890</w:t>
            </w:r>
          </w:p>
        </w:tc>
        <w:tc>
          <w:tcPr/>
          <w:p>
            <w:pPr>
              <w:pStyle w:val="Compact"/>
            </w:pPr>
            <w:r>
              <w:t xml:space="preserve">35.57%</w:t>
            </w:r>
          </w:p>
        </w:tc>
        <w:tc>
          <w:tcPr/>
          <w:p>
            <w:pPr>
              <w:pStyle w:val="Compact"/>
            </w:pPr>
            <w:r>
              <w:t xml:space="preserve">50.15%</w:t>
            </w:r>
          </w:p>
        </w:tc>
        <w:tc>
          <w:tcPr/>
          <w:p>
            <w:pPr>
              <w:pStyle w:val="Compact"/>
            </w:pPr>
            <w:r>
              <w:t xml:space="preserve">8.07e-02</w:t>
            </w:r>
          </w:p>
        </w:tc>
        <w:tc>
          <w:tcPr/>
          <w:p>
            <w:pPr>
              <w:pStyle w:val="Compact"/>
            </w:pPr>
            <w:r>
              <w:t xml:space="preserve">1.99e-01</w:t>
            </w:r>
          </w:p>
        </w:tc>
        <w:tc>
          <w:tcPr/>
          <w:p>
            <w:pPr>
              <w:pStyle w:val="Compact"/>
            </w:pPr>
            <w:r>
              <w:t xml:space="preserve">0.1014</w:t>
            </w:r>
          </w:p>
        </w:tc>
      </w:tr>
      <w:tr>
        <w:tc>
          <w:tcPr/>
          <w:p>
            <w:pPr>
              <w:pStyle w:val="Compact"/>
            </w:pPr>
            <w:r>
              <w:t xml:space="preserve">4</w:t>
            </w:r>
          </w:p>
        </w:tc>
        <w:tc>
          <w:tcPr/>
          <w:p>
            <w:pPr>
              <w:pStyle w:val="Compact"/>
            </w:pPr>
            <w:r>
              <w:t xml:space="preserve">2.3812</w:t>
            </w:r>
          </w:p>
        </w:tc>
        <w:tc>
          <w:tcPr/>
          <w:p>
            <w:pPr>
              <w:pStyle w:val="Compact"/>
            </w:pPr>
            <w:r>
              <w:t xml:space="preserve">42.34%</w:t>
            </w:r>
          </w:p>
        </w:tc>
        <w:tc>
          <w:tcPr/>
          <w:p>
            <w:pPr>
              <w:pStyle w:val="Compact"/>
            </w:pPr>
            <w:r>
              <w:t xml:space="preserve">57.43%</w:t>
            </w:r>
          </w:p>
        </w:tc>
        <w:tc>
          <w:tcPr/>
          <w:p>
            <w:pPr>
              <w:pStyle w:val="Compact"/>
            </w:pPr>
            <w:r>
              <w:t xml:space="preserve">1.36e-01</w:t>
            </w:r>
          </w:p>
        </w:tc>
        <w:tc>
          <w:tcPr/>
          <w:p>
            <w:pPr>
              <w:pStyle w:val="Compact"/>
            </w:pPr>
            <w:r>
              <w:t xml:space="preserve">1.98e-01</w:t>
            </w:r>
          </w:p>
        </w:tc>
        <w:tc>
          <w:tcPr/>
          <w:p>
            <w:pPr>
              <w:pStyle w:val="Compact"/>
            </w:pPr>
            <w:r>
              <w:t xml:space="preserve">0.1009</w:t>
            </w:r>
          </w:p>
        </w:tc>
      </w:tr>
      <w:tr>
        <w:tc>
          <w:tcPr/>
          <w:p>
            <w:pPr>
              <w:pStyle w:val="Compact"/>
            </w:pPr>
            <w:r>
              <w:t xml:space="preserve">5</w:t>
            </w:r>
          </w:p>
        </w:tc>
        <w:tc>
          <w:tcPr/>
          <w:p>
            <w:pPr>
              <w:pStyle w:val="Compact"/>
            </w:pPr>
            <w:r>
              <w:t xml:space="preserve">2.1245</w:t>
            </w:r>
          </w:p>
        </w:tc>
        <w:tc>
          <w:tcPr/>
          <w:p>
            <w:pPr>
              <w:pStyle w:val="Compact"/>
            </w:pPr>
            <w:r>
              <w:t xml:space="preserve">53.84%</w:t>
            </w:r>
          </w:p>
        </w:tc>
        <w:tc>
          <w:tcPr/>
          <w:p>
            <w:pPr>
              <w:pStyle w:val="Compact"/>
            </w:pPr>
            <w:r>
              <w:t xml:space="preserve">64.43%</w:t>
            </w:r>
          </w:p>
        </w:tc>
        <w:tc>
          <w:tcPr/>
          <w:p>
            <w:pPr>
              <w:pStyle w:val="Compact"/>
            </w:pPr>
            <w:r>
              <w:t xml:space="preserve">8.98e-02</w:t>
            </w:r>
          </w:p>
        </w:tc>
        <w:tc>
          <w:tcPr/>
          <w:p>
            <w:pPr>
              <w:pStyle w:val="Compact"/>
            </w:pPr>
            <w:r>
              <w:t xml:space="preserve">2.34e-01</w:t>
            </w:r>
          </w:p>
        </w:tc>
        <w:tc>
          <w:tcPr/>
          <w:p>
            <w:pPr>
              <w:pStyle w:val="Compact"/>
            </w:pPr>
            <w:r>
              <w:t xml:space="preserve">0.1006</w:t>
            </w:r>
          </w:p>
        </w:tc>
      </w:tr>
      <w:tr>
        <w:tc>
          <w:tcPr/>
          <w:p>
            <w:pPr>
              <w:pStyle w:val="Compact"/>
            </w:pPr>
            <w:r>
              <w:t xml:space="preserve">6</w:t>
            </w:r>
          </w:p>
        </w:tc>
        <w:tc>
          <w:tcPr/>
          <w:p>
            <w:pPr>
              <w:pStyle w:val="Compact"/>
            </w:pPr>
            <w:r>
              <w:t xml:space="preserve">1.9752</w:t>
            </w:r>
          </w:p>
        </w:tc>
        <w:tc>
          <w:tcPr/>
          <w:p>
            <w:pPr>
              <w:pStyle w:val="Compact"/>
            </w:pPr>
            <w:r>
              <w:t xml:space="preserve">60.14%</w:t>
            </w:r>
          </w:p>
        </w:tc>
        <w:tc>
          <w:tcPr/>
          <w:p>
            <w:pPr>
              <w:pStyle w:val="Compact"/>
            </w:pPr>
            <w:r>
              <w:t xml:space="preserve">67.06%</w:t>
            </w:r>
          </w:p>
        </w:tc>
        <w:tc>
          <w:tcPr/>
          <w:p>
            <w:pPr>
              <w:pStyle w:val="Compact"/>
            </w:pPr>
            <w:r>
              <w:t xml:space="preserve">2.72e-01</w:t>
            </w:r>
          </w:p>
        </w:tc>
        <w:tc>
          <w:tcPr/>
          <w:p>
            <w:pPr>
              <w:pStyle w:val="Compact"/>
            </w:pPr>
            <w:r>
              <w:t xml:space="preserve">2.33e-01</w:t>
            </w:r>
          </w:p>
        </w:tc>
        <w:tc>
          <w:tcPr/>
          <w:p>
            <w:pPr>
              <w:pStyle w:val="Compact"/>
            </w:pPr>
            <w:r>
              <w:t xml:space="preserve">0.1002</w:t>
            </w:r>
          </w:p>
        </w:tc>
      </w:tr>
      <w:tr>
        <w:tc>
          <w:tcPr/>
          <w:p>
            <w:pPr>
              <w:pStyle w:val="Compact"/>
            </w:pPr>
            <w:r>
              <w:t xml:space="preserve">7</w:t>
            </w:r>
          </w:p>
        </w:tc>
        <w:tc>
          <w:tcPr/>
          <w:p>
            <w:pPr>
              <w:pStyle w:val="Compact"/>
            </w:pPr>
            <w:r>
              <w:t xml:space="preserve">1.8574</w:t>
            </w:r>
          </w:p>
        </w:tc>
        <w:tc>
          <w:tcPr/>
          <w:p>
            <w:pPr>
              <w:pStyle w:val="Compact"/>
            </w:pPr>
            <w:r>
              <w:t xml:space="preserve">62.84%</w:t>
            </w:r>
          </w:p>
        </w:tc>
        <w:tc>
          <w:tcPr/>
          <w:p>
            <w:pPr>
              <w:pStyle w:val="Compact"/>
            </w:pPr>
            <w:r>
              <w:t xml:space="preserve">69.97%</w:t>
            </w:r>
          </w:p>
        </w:tc>
        <w:tc>
          <w:tcPr/>
          <w:p>
            <w:pPr>
              <w:pStyle w:val="Compact"/>
            </w:pPr>
            <w:r>
              <w:t xml:space="preserve">8.81e-02</w:t>
            </w:r>
          </w:p>
        </w:tc>
        <w:tc>
          <w:tcPr/>
          <w:p>
            <w:pPr>
              <w:pStyle w:val="Compact"/>
            </w:pPr>
            <w:r>
              <w:t xml:space="preserve">3.08e-01</w:t>
            </w:r>
          </w:p>
        </w:tc>
        <w:tc>
          <w:tcPr/>
          <w:p>
            <w:pPr>
              <w:pStyle w:val="Compact"/>
            </w:pPr>
            <w:r>
              <w:t xml:space="preserve">0.1000</w:t>
            </w:r>
          </w:p>
        </w:tc>
      </w:tr>
      <w:tr>
        <w:tc>
          <w:tcPr/>
          <w:p>
            <w:pPr>
              <w:pStyle w:val="Compact"/>
            </w:pPr>
            <w:r>
              <w:t xml:space="preserve">8</w:t>
            </w:r>
          </w:p>
        </w:tc>
        <w:tc>
          <w:tcPr/>
          <w:p>
            <w:pPr>
              <w:pStyle w:val="Compact"/>
            </w:pPr>
            <w:r>
              <w:t xml:space="preserve">1.7413</w:t>
            </w:r>
          </w:p>
        </w:tc>
        <w:tc>
          <w:tcPr/>
          <w:p>
            <w:pPr>
              <w:pStyle w:val="Compact"/>
            </w:pPr>
            <w:r>
              <w:t xml:space="preserve">68.64%</w:t>
            </w:r>
          </w:p>
        </w:tc>
        <w:tc>
          <w:tcPr/>
          <w:p>
            <w:pPr>
              <w:pStyle w:val="Compact"/>
            </w:pPr>
            <w:r>
              <w:t xml:space="preserve">72.30%</w:t>
            </w:r>
          </w:p>
        </w:tc>
        <w:tc>
          <w:tcPr/>
          <w:p>
            <w:pPr>
              <w:pStyle w:val="Compact"/>
            </w:pPr>
            <w:r>
              <w:t xml:space="preserve">4.09e-02</w:t>
            </w:r>
          </w:p>
        </w:tc>
        <w:tc>
          <w:tcPr/>
          <w:p>
            <w:pPr>
              <w:pStyle w:val="Compact"/>
            </w:pPr>
            <w:r>
              <w:t xml:space="preserve">2.25e-01</w:t>
            </w:r>
          </w:p>
        </w:tc>
        <w:tc>
          <w:tcPr/>
          <w:p>
            <w:pPr>
              <w:pStyle w:val="Compact"/>
            </w:pPr>
            <w:r>
              <w:t xml:space="preserve">0.1004</w:t>
            </w:r>
          </w:p>
        </w:tc>
      </w:tr>
      <w:tr>
        <w:tc>
          <w:tcPr/>
          <w:p>
            <w:pPr>
              <w:pStyle w:val="Compact"/>
            </w:pPr>
            <w:r>
              <w:t xml:space="preserve">9</w:t>
            </w:r>
          </w:p>
        </w:tc>
        <w:tc>
          <w:tcPr/>
          <w:p>
            <w:pPr>
              <w:pStyle w:val="Compact"/>
            </w:pPr>
            <w:r>
              <w:t xml:space="preserve">1.8931</w:t>
            </w:r>
          </w:p>
        </w:tc>
        <w:tc>
          <w:tcPr/>
          <w:p>
            <w:pPr>
              <w:pStyle w:val="Compact"/>
            </w:pPr>
            <w:r>
              <w:t xml:space="preserve">64.72%</w:t>
            </w:r>
          </w:p>
        </w:tc>
        <w:tc>
          <w:tcPr/>
          <w:p>
            <w:pPr>
              <w:pStyle w:val="Compact"/>
            </w:pPr>
            <w:r>
              <w:rPr>
                <w:b/>
                <w:bCs/>
              </w:rPr>
              <w:t xml:space="preserve">72.89%</w:t>
            </w:r>
          </w:p>
        </w:tc>
        <w:tc>
          <w:tcPr/>
          <w:p>
            <w:pPr>
              <w:pStyle w:val="Compact"/>
            </w:pPr>
            <w:r>
              <w:t xml:space="preserve">5.47e-01</w:t>
            </w:r>
          </w:p>
        </w:tc>
        <w:tc>
          <w:tcPr/>
          <w:p>
            <w:pPr>
              <w:pStyle w:val="Compact"/>
            </w:pPr>
            <w:r>
              <w:t xml:space="preserve">2.09e-01</w:t>
            </w:r>
          </w:p>
        </w:tc>
        <w:tc>
          <w:tcPr/>
          <w:p>
            <w:pPr>
              <w:pStyle w:val="Compact"/>
            </w:pPr>
            <w:r>
              <w:t xml:space="preserve">0.1000</w:t>
            </w:r>
          </w:p>
        </w:tc>
      </w:tr>
      <w:tr>
        <w:tc>
          <w:tcPr/>
          <w:p>
            <w:pPr>
              <w:pStyle w:val="Compact"/>
            </w:pPr>
            <w:r>
              <w:t xml:space="preserve">10</w:t>
            </w:r>
          </w:p>
        </w:tc>
        <w:tc>
          <w:tcPr/>
          <w:p>
            <w:pPr>
              <w:pStyle w:val="Compact"/>
            </w:pPr>
            <w:r>
              <w:t xml:space="preserve">1.7960</w:t>
            </w:r>
          </w:p>
        </w:tc>
        <w:tc>
          <w:tcPr/>
          <w:p>
            <w:pPr>
              <w:pStyle w:val="Compact"/>
            </w:pPr>
            <w:r>
              <w:t xml:space="preserve">68.08%</w:t>
            </w:r>
          </w:p>
        </w:tc>
        <w:tc>
          <w:tcPr/>
          <w:p>
            <w:pPr>
              <w:pStyle w:val="Compact"/>
            </w:pPr>
            <w:r>
              <w:rPr>
                <w:b/>
                <w:bCs/>
              </w:rPr>
              <w:t xml:space="preserve">72.89%</w:t>
            </w:r>
          </w:p>
        </w:tc>
        <w:tc>
          <w:tcPr/>
          <w:p>
            <w:pPr>
              <w:pStyle w:val="Compact"/>
            </w:pPr>
            <w:r>
              <w:t xml:space="preserve">2.08e-01</w:t>
            </w:r>
          </w:p>
        </w:tc>
        <w:tc>
          <w:tcPr/>
          <w:p>
            <w:pPr>
              <w:pStyle w:val="Compact"/>
            </w:pPr>
            <w:r>
              <w:t xml:space="preserve">1.61e-01</w:t>
            </w:r>
          </w:p>
        </w:tc>
        <w:tc>
          <w:tcPr/>
          <w:p>
            <w:pPr>
              <w:pStyle w:val="Compact"/>
            </w:pPr>
            <w:r>
              <w:t xml:space="preserve">0.1000</w:t>
            </w:r>
          </w:p>
        </w:tc>
      </w:tr>
    </w:tbl>
    <w:p>
      <w:pPr>
        <w:pStyle w:val="BodyText"/>
      </w:pPr>
      <w:r>
        <w:rPr>
          <w:b/>
          <w:bCs/>
        </w:rPr>
        <w:t xml:space="preserve">Fresh rerun test accuracy:</w:t>
      </w:r>
      <w:r>
        <w:t xml:space="preserve"> </w:t>
      </w:r>
      <w:r>
        <w:rPr>
          <w:rStyle w:val="VerbatimChar"/>
        </w:rPr>
        <w:t xml:space="preserve">72.53%</w:t>
      </w:r>
    </w:p>
    <w:p>
      <w:pPr>
        <w:pStyle w:val="BodyText"/>
      </w:pPr>
      <w:r>
        <w:t xml:space="preserve">This rerun resumed from a Drive-backed checkpoint at epoch 4 after an earlier target-triggered stop, then continued cleanly through epoch 10. The result does not overtake the strongest classical baselines, but it materially strengthens the trainable-quantum engineering case-study by showing that the stabilized V7 path is reproducible and improves substantially over the older documented</w:t>
      </w:r>
      <w:r>
        <w:t xml:space="preserve"> </w:t>
      </w:r>
      <w:r>
        <w:rPr>
          <w:rStyle w:val="VerbatimChar"/>
        </w:rPr>
        <w:t xml:space="preserve">65.02%</w:t>
      </w:r>
      <w:r>
        <w:t xml:space="preserve"> </w:t>
      </w:r>
      <w:r>
        <w:t xml:space="preserve">test result. At the time of writing, the local repository now contains the synced Drive-backed checkpoint files for this rerun; the remaining housekeeping gap is the remote</w:t>
      </w:r>
      <w:r>
        <w:t xml:space="preserve"> </w:t>
      </w:r>
      <w:r>
        <w:rPr>
          <w:rStyle w:val="VerbatimChar"/>
        </w:rPr>
        <w:t xml:space="preserve">experiments/v7_*</w:t>
      </w:r>
      <w:r>
        <w:t xml:space="preserve"> </w:t>
      </w:r>
      <w:r>
        <w:t xml:space="preserve">directory rather than the core checkpoint artifacts themselves.</w:t>
      </w:r>
    </w:p>
    <w:bookmarkEnd w:id="42"/>
    <w:bookmarkEnd w:id="43"/>
    <w:bookmarkStart w:id="44" w:name="X5ad91e983b6b541f7ce683063af073d19175527"/>
    <w:p>
      <w:pPr>
        <w:pStyle w:val="Heading3"/>
      </w:pPr>
      <w:r>
        <w:t xml:space="preserve">4.5 Information Bottleneck Analysis</w:t>
      </w:r>
    </w:p>
    <w:p>
      <w:pPr>
        <w:pStyle w:val="FirstParagraph"/>
      </w:pPr>
      <w:r>
        <w:t xml:space="preserve">Systematic reduction of feature-map dimensions reveals a critical spatial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72.89% (fresh V7 rerun)</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44"/>
    <w:bookmarkStart w:id="47" w:name="X6f702096ec1d0a4d14501df92fb2d526ee3319f"/>
    <w:p>
      <w:pPr>
        <w:pStyle w:val="Heading3"/>
      </w:pPr>
      <w:r>
        <w:t xml:space="preserve">4.6 Gradient Flow Analysis</w:t>
      </w:r>
    </w:p>
    <w:bookmarkStart w:id="45"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45"/>
    <w:bookmarkStart w:id="46" w:name="v7-gradient-health"/>
    <w:p>
      <w:pPr>
        <w:pStyle w:val="Heading4"/>
      </w:pPr>
      <w:r>
        <w:t xml:space="preserve">V7 Gradient Health</w:t>
      </w:r>
    </w:p>
    <w:p>
      <w:pPr>
        <w:pStyle w:val="FirstParagraph"/>
      </w:pPr>
      <w:r>
        <w:t xml:space="preserve">Quantum gradient magnitude across the fresh 10-epoch rerun ranged from 8.21e-04 to 5.47e-01. The early transition from very small gradients in epoch 1 to substantially larger values in later epochs again suggests a characteristic "cold start" dynamics in variational quantum circuits within hybrid architectures: the quantum block does not appear to contribute strongly at initialization, but becomes trainable after several warm-up epochs once the surrounding classical layers and scaling parameters move into a better regime.</w:t>
      </w:r>
    </w:p>
    <w:bookmarkEnd w:id="46"/>
    <w:bookmarkEnd w:id="47"/>
    <w:bookmarkStart w:id="48" w:name="Xdd66c69647827740ed3bf000fa91cc0f5b5eba7"/>
    <w:p>
      <w:pPr>
        <w:pStyle w:val="Heading3"/>
      </w:pPr>
      <w:r>
        <w:t xml:space="preserve">4.7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48"/>
    <w:bookmarkStart w:id="49" w:name="X1a2189fc6bd9649d98d6324ff1bdcdf1578c218"/>
    <w:p>
      <w:pPr>
        <w:pStyle w:val="Heading3"/>
      </w:pPr>
      <w:r>
        <w:t xml:space="preserve">4.8 Quantum Computational Efficiency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49"/>
    <w:bookmarkStart w:id="50" w:name="X7e87489323f7811a54e845b94a61cbfd46c7952"/>
    <w:p>
      <w:pPr>
        <w:pStyle w:val="Heading3"/>
      </w:pPr>
      <w:r>
        <w:t xml:space="preserve">4.9 Comparative Interpretation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 fresh rerun)</w:t>
            </w:r>
          </w:p>
        </w:tc>
        <w:tc>
          <w:tcPr/>
          <w:p>
            <w:pPr>
              <w:pStyle w:val="Compact"/>
            </w:pPr>
            <w:r>
              <w:t xml:space="preserve">25</w:t>
            </w:r>
          </w:p>
        </w:tc>
        <w:tc>
          <w:tcPr/>
          <w:p>
            <w:pPr>
              <w:pStyle w:val="Compact"/>
            </w:pPr>
            <w:r>
              <w:t xml:space="preserve">72.89%</w:t>
            </w:r>
          </w:p>
        </w:tc>
        <w:tc>
          <w:tcPr/>
          <w:p>
            <w:pPr>
              <w:pStyle w:val="Compact"/>
            </w:pPr>
            <w:r>
              <w:t xml:space="preserve">72.53%</w:t>
            </w:r>
          </w:p>
        </w:tc>
        <w:tc>
          <w:tcPr/>
          <w:p>
            <w:pPr>
              <w:pStyle w:val="Compact"/>
            </w:pPr>
            <w:r>
              <w:t xml:space="preserve">improved trainable engineering case-study, but still not current benchmark leader</w:t>
            </w:r>
          </w:p>
        </w:tc>
      </w:tr>
      <w:tr>
        <w:tc>
          <w:tcPr/>
          <w:p>
            <w:pPr>
              <w:pStyle w:val="Compact"/>
            </w:pPr>
            <w:r>
              <w:t xml:space="preserve">V7 (older documented run)</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older documented trainable result retained for historical comparison</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0"/>
    <w:bookmarkEnd w:id="51"/>
    <w:bookmarkStart w:id="57" w:name="X735612638e4e736e4693e459c258977262c0dfc"/>
    <w:p>
      <w:pPr>
        <w:pStyle w:val="Heading2"/>
      </w:pPr>
      <w:r>
        <w:t xml:space="preserve">5. Discussion</w:t>
      </w:r>
    </w:p>
    <w:bookmarkStart w:id="52" w:name="X4105eea6633c59c70cc59e1d30ddf9f726d3e85"/>
    <w:p>
      <w:pPr>
        <w:pStyle w:val="Heading3"/>
      </w:pPr>
      <w:r>
        <w:t xml:space="preserve">5.1 What The Benchmark Now Shows</w:t>
      </w:r>
    </w:p>
    <w:p>
      <w:pPr>
        <w:pStyle w:val="FirstParagraph"/>
      </w:pPr>
      <w:r>
        <w:t xml:space="preserve">The most important scientific update in the repository is no longer the V4-to-V7 jump alone. The stronger conclusion is that, once the benchmark is organized fairly and run with multi-seed reporting, the strongest reproduced evidence currently favors classical baselines. This is true in both benchmark families considered here:</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simply constrains the valid claim: the current evidence supports an honest comparative benchmark and engineering analysis, not a quantum-win narrative.</w:t>
      </w:r>
    </w:p>
    <w:p>
      <w:pPr>
        <w:pStyle w:val="BodyText"/>
      </w:pPr>
      <w:r>
        <w:t xml:space="preserve">The fresh V7 rerun strengthens this conclusion rather than overturning it. The trainable quantum path is meaningfully better than its older documented version, but even after this improvement it remains well below the strongest thesis-faithful and matched-budget classical anchors. That makes V7 more useful as evidence about trainability and engineering than as evidence about benchmark leadership.</w:t>
      </w:r>
    </w:p>
    <w:bookmarkEnd w:id="52"/>
    <w:bookmarkStart w:id="53" w:name="X9ee7b493ef1a5253e7beb81b06e12465a7470ab"/>
    <w:p>
      <w:pPr>
        <w:pStyle w:val="Heading3"/>
      </w:pPr>
      <w:r>
        <w:t xml:space="preserve">5.2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53"/>
    <w:bookmarkStart w:id="54" w:name="Xd5169bbd3549218ca119dab18a5e61d5fe02a32"/>
    <w:p>
      <w:pPr>
        <w:pStyle w:val="Heading3"/>
      </w:pPr>
      <w:r>
        <w:t xml:space="preserve">5.3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54"/>
    <w:bookmarkStart w:id="55" w:name="X8bd2ec2f481f7d84352b6b5c28b2c231c8e9267"/>
    <w:p>
      <w:pPr>
        <w:pStyle w:val="Heading3"/>
      </w:pPr>
      <w:r>
        <w:t xml:space="preserve">5.4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55"/>
    <w:bookmarkStart w:id="56" w:name="X97a7ad5bbf88a9d3caa5af9f9cc95ec2c69b361"/>
    <w:p>
      <w:pPr>
        <w:pStyle w:val="Heading3"/>
      </w:pPr>
      <w:r>
        <w:t xml:space="preserve">5.5 Limitations And Scope</w:t>
      </w:r>
    </w:p>
    <w:p>
      <w:pPr>
        <w:numPr>
          <w:ilvl w:val="0"/>
          <w:numId w:val="1016"/>
        </w:numPr>
      </w:pPr>
      <w:r>
        <w:rPr>
          <w:b/>
          <w:bCs/>
        </w:rPr>
        <w:t xml:space="preserve">No quantum advantage claimed.</w:t>
      </w:r>
      <w:r>
        <w:t xml:space="preserve"> </w:t>
      </w:r>
      <w:r>
        <w:t xml:space="preserve">The current benchmark picture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low-data scaling study, or robustness axis would materially strengthen the paper.</w:t>
      </w:r>
    </w:p>
    <w:p>
      <w:pPr>
        <w:numPr>
          <w:ilvl w:val="0"/>
          <w:numId w:val="1016"/>
        </w:numPr>
      </w:pPr>
      <w:r>
        <w:rPr>
          <w:b/>
          <w:bCs/>
        </w:rPr>
        <w:t xml:space="preserve">Single-run trainable-quantum evidence.</w:t>
      </w:r>
      <w:r>
        <w:t xml:space="preserve"> </w:t>
      </w:r>
      <w:r>
        <w:t xml:space="preserve">The fresh V7 rerun now removes the largest training-side uncertainty, but the trainable-quantum case-study is still represented by a single fresh Colab rerun rather than a multi-seed remote study. The checkpoint files are now synced locally; the remaining artifact gap is the remote</w:t>
      </w:r>
      <w:r>
        <w:t xml:space="preserve"> </w:t>
      </w:r>
      <w:r>
        <w:rPr>
          <w:rStyle w:val="VerbatimChar"/>
        </w:rPr>
        <w:t xml:space="preserve">experiments/v7_*</w:t>
      </w:r>
      <w:r>
        <w:t xml:space="preserve"> </w:t>
      </w:r>
      <w:r>
        <w:t xml:space="preserve">directory and any richer run metadata it may contain.</w:t>
      </w:r>
    </w:p>
    <w:p>
      <w:r>
        <w:pict>
          <v:rect style="width:0;height:1.5pt" o:hralign="center" o:hrstd="t" o:hr="t"/>
        </w:pict>
      </w:r>
    </w:p>
    <w:bookmarkEnd w:id="56"/>
    <w:bookmarkEnd w:id="57"/>
    <w:bookmarkStart w:id="58"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strongest current evidence in the repository favors classical baselines rather than quantum variants: the best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the fresh trainable V7 Colab rerun reaches</w:t>
      </w:r>
      <w:r>
        <w:t xml:space="preserve"> </w:t>
      </w:r>
      <w:r>
        <w:rPr>
          <w:b/>
          <w:bCs/>
        </w:rPr>
        <w:t xml:space="preserve">72.53%</w:t>
      </w:r>
      <w:r>
        <w:t xml:space="preserve"> </w:t>
      </w:r>
      <w:r>
        <w:t xml:space="preserve">test accuracy.</w:t>
      </w:r>
    </w:p>
    <w:p>
      <w:pPr>
        <w:pStyle w:val="BodyText"/>
      </w:pPr>
      <w:r>
        <w:t xml:space="preserve">The paper therefore should not claim quantum superiority. Its value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strengthening the benchmark rather than chasing an unsupported generic quantum-advantage claim: (1) add at least one stronger modern classical baseline, (2) add one broader validation axis such as low-data scaling or a second dataset, and (3) only consider extra trainable-quantum seeds if they are justified by paper impact and remaining compute budget.</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w:t>
      </w:r>
      <w:r>
        <w:t xml:space="preserve"> </w:t>
      </w:r>
      <w:r>
        <w:rPr>
          <w:i/>
          <w:iCs/>
        </w:rPr>
        <w:t xml:space="preserve">[Ottoman script recognition reference to be added — search: "Ottoman handwriting recognition deep learning"]</w:t>
      </w:r>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et al. "Better classical surrogate models for quantum classifiers."</w:t>
      </w:r>
      <w:r>
        <w:t xml:space="preserve"> </w:t>
      </w:r>
      <w:r>
        <w:rPr>
          <w:i/>
          <w:iCs/>
        </w:rPr>
        <w:t xml:space="preserve">arXiv:2403.07998</w:t>
      </w:r>
      <w:r>
        <w:t xml:space="preserve"> </w:t>
      </w:r>
      <w:r>
        <w:t xml:space="preserve">(2024).</w:t>
      </w:r>
    </w:p>
    <w:p>
      <w:r>
        <w:pict>
          <v:rect style="width:0;height:1.5pt" o:hralign="center" o:hrstd="t" o:hr="t"/>
        </w:pict>
      </w:r>
    </w:p>
    <w:bookmarkEnd w:id="59"/>
    <w:bookmarkStart w:id="60" w:name="appendix-a-experimental-configuration"/>
    <w:p>
      <w:pPr>
        <w:pStyle w:val="Heading2"/>
      </w:pPr>
      <w:r>
        <w:t xml:space="preserve">Appendix A: Experimental Configuration</w:t>
      </w:r>
    </w:p>
    <w:p>
      <w:pPr>
        <w:pStyle w:val="FirstParagraph"/>
      </w:pPr>
      <w:r>
        <w:rPr>
          <w:i/>
          <w:iCs/>
        </w:rPr>
        <w:t xml:space="preserve">Complete hyperparameter settings, debug output, and per-version configurations documented in</w:t>
      </w:r>
      <w:r>
        <w:rPr>
          <w:i/>
          <w:iCs/>
        </w:rPr>
        <w:t xml:space="preserve"> </w:t>
      </w:r>
      <w:r>
        <w:rPr>
          <w:rStyle w:val="VerbatimChar"/>
          <w:i/>
          <w:iCs/>
        </w:rPr>
        <w:t xml:space="preserve">docs/EXPERIMENTS.md</w:t>
      </w:r>
      <w:r>
        <w:rPr>
          <w:i/>
          <w:iCs/>
        </w:rPr>
        <w:t xml:space="preserve">.</w:t>
      </w:r>
    </w:p>
    <w:bookmarkEnd w:id="60"/>
    <w:bookmarkStart w:id="62"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61">
        <w:r>
          <w:rPr>
            <w:rStyle w:val="Hyperlink"/>
          </w:rPr>
          <w:t xml:space="preserve">https://github.com/necatiincekara/Quanvolutional-Neural-Network</w:t>
        </w:r>
      </w:hyperlink>
    </w:p>
    <w:p>
      <w:pPr>
        <w:pStyle w:val="Compact"/>
        <w:numPr>
          <w:ilvl w:val="0"/>
          <w:numId w:val="1018"/>
        </w:numPr>
      </w:pPr>
      <w:r>
        <w:rPr>
          <w:b/>
          <w:bCs/>
        </w:rPr>
        <w:t xml:space="preserve">Training notebook:</w:t>
      </w:r>
      <w:r>
        <w:t xml:space="preserve"> </w:t>
      </w:r>
      <w:r>
        <w:rPr>
          <w:rStyle w:val="VerbatimChar"/>
        </w:rPr>
        <w:t xml:space="preserve">colab_v7_rerun_clean.ipynb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rPr>
          <w:i/>
          <w:iCs/>
        </w:rPr>
        <w:t xml:space="preserve">[to be specified before submission]</w:t>
      </w:r>
    </w:p>
    <w:p>
      <w:pPr>
        <w:pStyle w:val="Compact"/>
        <w:numPr>
          <w:ilvl w:val="0"/>
          <w:numId w:val="1018"/>
        </w:numPr>
      </w:pPr>
      <w:r>
        <w:rPr>
          <w:b/>
          <w:bCs/>
        </w:rPr>
        <w:t xml:space="preserve">Dataset:</w:t>
      </w:r>
      <w:r>
        <w:t xml:space="preserve"> </w:t>
      </w:r>
      <w:r>
        <w:rPr>
          <w:i/>
          <w:iCs/>
        </w:rPr>
        <w:t xml:space="preserve">[access instructions to be added]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2026-04-07T18:15:06Z</dcterms:created>
  <dcterms:modified xsi:type="dcterms:W3CDTF">2026-04-07T18:15:06Z</dcterms:modified>
</cp:coreProperties>
</file>

<file path=docProps/custom.xml><?xml version="1.0" encoding="utf-8"?>
<Properties xmlns="http://schemas.openxmlformats.org/officeDocument/2006/custom-properties" xmlns:vt="http://schemas.openxmlformats.org/officeDocument/2006/docPropsVTypes"/>
</file>