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publication-artifact-provenance-ledger"/>
    <w:p>
      <w:pPr>
        <w:pStyle w:val="Heading1"/>
        <w:keepNext/>
        <w:spacing w:before="0" w:after="280" w:line="240" w:lineRule="auto"/>
        <w:jc w:val="left"/>
      </w:pPr>
      <w:r>
        <w:rPr>
          <w:rFonts w:ascii="Calibri" w:hAnsi="Calibri" w:eastAsia="Calibri"/>
          <w:b/>
          <w:color w:val="0B2545"/>
          <w:sz w:val="46"/>
        </w:rPr>
        <w:t xml:space="preserve">Publication Artifact Provenance Ledger</w:t>
      </w:r>
    </w:p>
    <w:p>
      <w:pPr>
        <w:pStyle w:val="FirstParagraph"/>
        <w:spacing w:after="240"/>
      </w:pPr>
      <w:r>
        <w:rPr>
          <w:rFonts w:ascii="Calibri" w:hAnsi="Calibri" w:eastAsia="Calibri"/>
          <w:b/>
          <w:bCs/>
          <w:i/>
          <w:color w:val="666666"/>
          <w:sz w:val="20"/>
        </w:rPr>
        <w:t xml:space="preserve">Originally opened:</w:t>
      </w:r>
      <w:r>
        <w:rPr>
          <w:rFonts w:ascii="Calibri" w:hAnsi="Calibri" w:eastAsia="Calibri"/>
          <w:i/>
          <w:color w:val="666666"/>
          <w:sz w:val="20"/>
        </w:rPr>
        <w:t xml:space="preserve"> </w:t>
      </w:r>
      <w:r>
        <w:rPr>
          <w:rFonts w:ascii="Calibri" w:hAnsi="Calibri" w:eastAsia="Calibri"/>
          <w:i/>
          <w:color w:val="666666"/>
          <w:sz w:val="20"/>
        </w:rPr>
        <w:t xml:space="preserve">July 28, 2026</w:t>
      </w:r>
      <w:r>
        <w:rPr>
          <w:rFonts w:ascii="Calibri" w:hAnsi="Calibri" w:eastAsia="Calibri"/>
          <w:i/>
          <w:color w:val="666666"/>
          <w:sz w:val="20"/>
        </w:rPr>
        <w:br/>
      </w:r>
      <w:r>
        <w:rPr>
          <w:rFonts w:ascii="Calibri" w:hAnsi="Calibri" w:eastAsia="Calibri"/>
          <w:b/>
          <w:bCs/>
          <w:i/>
          <w:color w:val="666666"/>
          <w:sz w:val="20"/>
        </w:rPr>
        <w:t xml:space="preserve">Last reconciled:</w:t>
      </w:r>
      <w:r>
        <w:rPr>
          <w:rFonts w:ascii="Calibri" w:hAnsi="Calibri" w:eastAsia="Calibri"/>
          <w:i/>
          <w:color w:val="666666"/>
          <w:sz w:val="20"/>
        </w:rPr>
        <w:t xml:space="preserve"> </w:t>
      </w:r>
      <w:r>
        <w:rPr>
          <w:rFonts w:ascii="Calibri" w:hAnsi="Calibri" w:eastAsia="Calibri"/>
          <w:i/>
          <w:color w:val="666666"/>
          <w:sz w:val="20"/>
        </w:rPr>
        <w:t xml:space="preserve">August 9, 2026</w:t>
      </w:r>
    </w:p>
    <w:p>
      <w:pPr>
        <w:pStyle w:val="BodyText"/>
      </w:pPr>
      <w:r>
        <w:t xml:space="preserve">This ledger follows the repository source-of-truth order and distinguishes byte-original experiment artifacts, deterministic derived evidence, transparent notebook/log reconstructions, and unresolved historical provenance.</w:t>
      </w:r>
    </w:p>
    <w:bookmarkStart w:id="9" w:name="status-definitions"/>
    <w:p>
      <w:pPr>
        <w:pStyle w:val="Heading2"/>
        <w:keepNext/>
      </w:pPr>
      <w:r>
        <w:t xml:space="preserve">Status Definitions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Original local:</w:t>
      </w:r>
      <w:r>
        <w:t xml:space="preserve"> </w:t>
      </w:r>
      <w:r>
        <w:t xml:space="preserve">byte-level JSON/checkpoint produced by the experiment and present locally.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Derived:</w:t>
      </w:r>
      <w:r>
        <w:t xml:space="preserve"> </w:t>
      </w:r>
      <w:r>
        <w:t xml:space="preserve">deterministically generated from validated local artifacts without training.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Reconstructed:</w:t>
      </w:r>
      <w:r>
        <w:t xml:space="preserve"> </w:t>
      </w:r>
      <w:r>
        <w:t xml:space="preserve">metrics recovered from captured notebook/log output; not promoted to byte-original status.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Unresolved:</w:t>
      </w:r>
      <w:r>
        <w:t xml:space="preserve"> </w:t>
      </w:r>
      <w:r>
        <w:t xml:space="preserve">source artifact or required author confirmation is not available.</w:t>
      </w:r>
    </w:p>
    <w:bookmarkEnd w:id="9"/>
    <w:bookmarkStart w:id="10" w:name="evidence-families"/>
    <w:p>
      <w:pPr>
        <w:pStyle w:val="Heading2"/>
        <w:keepNext/>
      </w:pPr>
      <w:r>
        <w:t xml:space="preserve">Evidence Families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  <w:tblBorders>
          <w:top w:val="single" w:sz="3" w:color="D7DEE8"/>
          <w:left w:val="single" w:sz="3" w:color="D7DEE8"/>
          <w:bottom w:val="single" w:sz="3" w:color="D7DEE8"/>
          <w:right w:val="single" w:sz="3" w:color="D7DEE8"/>
          <w:insideH w:val="single" w:sz="3" w:color="D7DEE8"/>
          <w:insideV w:val="single" w:sz="3" w:color="D7DEE8"/>
        </w:tblBorders>
      </w:tblPr>
      <w:tblGrid>
        <w:gridCol w:w="1796"/>
        <w:gridCol w:w="2834"/>
        <w:gridCol w:w="2400"/>
        <w:gridCol w:w="2330"/>
      </w:tblGrid>
      <w:tr>
        <w:trPr>
          <w:tblHeader w:val="on"/>
          <w:cantSplit/>
          <w:tblHeader w:val="true"/>
        </w:trPr>
        <w:tc>
          <w:tcPr>
            <w:tcW w:w="179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Family</w:t>
            </w:r>
          </w:p>
        </w:tc>
        <w:tc>
          <w:tcPr>
            <w:tcW w:w="283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Evidence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Status</w:t>
            </w:r>
          </w:p>
        </w:tc>
        <w:tc>
          <w:tcPr>
            <w:tcW w:w="233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Current use</w:t>
            </w:r>
          </w:p>
        </w:tc>
      </w:tr>
      <w:tr>
        <w:trPr>
          <w:cantSplit/>
        </w:trPr>
        <w:tc>
          <w:tcPr>
            <w:tcW w:w="179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thesis-faithful</w:t>
            </w:r>
          </w:p>
        </w:tc>
        <w:tc>
          <w:tcPr>
            <w:tcW w:w="283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9 full-data JSON + 9 best checkpoints, seeds 42--44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Original local</w:t>
            </w:r>
          </w:p>
        </w:tc>
        <w:tc>
          <w:tcPr>
            <w:tcW w:w="233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Primary three-seed benchmark</w:t>
            </w:r>
          </w:p>
        </w:tc>
      </w:tr>
      <w:tr>
        <w:trPr>
          <w:cantSplit/>
        </w:trPr>
        <w:tc>
          <w:tcPr>
            <w:tcW w:w="179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current-local</w:t>
            </w:r>
          </w:p>
        </w:tc>
        <w:tc>
          <w:tcPr>
            <w:tcW w:w="283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9 full-data JSON + 9 best checkpoints, seeds 42--44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Original local</w:t>
            </w:r>
          </w:p>
        </w:tc>
        <w:tc>
          <w:tcPr>
            <w:tcW w:w="233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Primary matched-budget benchmark</w:t>
            </w:r>
          </w:p>
        </w:tc>
      </w:tr>
      <w:tr>
        <w:trPr>
          <w:cantSplit/>
        </w:trPr>
        <w:tc>
          <w:tcPr>
            <w:tcW w:w="179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modern-classical</w:t>
            </w:r>
          </w:p>
        </w:tc>
        <w:tc>
          <w:tcPr>
            <w:tcW w:w="283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3 ResNet-18 JSON + 3 best checkpoints, seeds 42--44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Original local</w:t>
            </w:r>
          </w:p>
        </w:tc>
        <w:tc>
          <w:tcPr>
            <w:tcW w:w="233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Strong classical upper bound</w:t>
            </w:r>
          </w:p>
        </w:tc>
      </w:tr>
      <w:tr>
        <w:trPr>
          <w:cantSplit/>
        </w:trPr>
        <w:tc>
          <w:tcPr>
            <w:tcW w:w="179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class-aware full-data</w:t>
            </w:r>
          </w:p>
        </w:tc>
        <w:tc>
          <w:tcPr>
            <w:tcW w:w="283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macro-F1, balanced accuracy, weighted-F1, per-class rows, confusion matrices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Derived from 21 original best checkpoints</w:t>
            </w:r>
          </w:p>
        </w:tc>
        <w:tc>
          <w:tcPr>
            <w:tcW w:w="233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Secondary-metric evidence</w:t>
            </w:r>
          </w:p>
        </w:tc>
      </w:tr>
      <w:tr>
        <w:trPr>
          <w:cantSplit/>
        </w:trPr>
        <w:tc>
          <w:tcPr>
            <w:tcW w:w="179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low-data</w:t>
            </w:r>
          </w:p>
        </w:tc>
        <w:tc>
          <w:tcPr>
            <w:tcW w:w="283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56 expected JSON + 56 best checkpoints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Original local</w:t>
            </w:r>
          </w:p>
        </w:tc>
        <w:tc>
          <w:tcPr>
            <w:tcW w:w="233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Six-seed current-local analysis plus seed-42 thesis pilot</w:t>
            </w:r>
          </w:p>
        </w:tc>
      </w:tr>
      <w:tr>
        <w:trPr>
          <w:cantSplit/>
        </w:trPr>
        <w:tc>
          <w:tcPr>
            <w:tcW w:w="179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low-data reconciliation</w:t>
            </w:r>
          </w:p>
        </w:tc>
        <w:tc>
          <w:tcPr>
            <w:tcW w:w="283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all 138 downloaded Drive files inventoried; 40 former reconstructed rows checked and replaced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Derived reconciliation record</w:t>
            </w:r>
          </w:p>
        </w:tc>
        <w:tc>
          <w:tcPr>
            <w:tcW w:w="233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Provenance audit</w:t>
            </w:r>
          </w:p>
        </w:tc>
      </w:tr>
      <w:tr>
        <w:trPr>
          <w:cantSplit/>
        </w:trPr>
        <w:tc>
          <w:tcPr>
            <w:tcW w:w="179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class-aware low-data</w:t>
            </w:r>
          </w:p>
        </w:tc>
        <w:tc>
          <w:tcPr>
            <w:tcW w:w="283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48 current-local checkpoint evaluations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Derived from original best checkpoints; all regenerated accuracies matched source rows</w:t>
            </w:r>
          </w:p>
        </w:tc>
        <w:tc>
          <w:tcPr>
            <w:tcW w:w="233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Exploratory secondary-metric evidence</w:t>
            </w:r>
          </w:p>
        </w:tc>
      </w:tr>
      <w:tr>
        <w:trPr>
          <w:cantSplit/>
        </w:trPr>
        <w:tc>
          <w:tcPr>
            <w:tcW w:w="179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low-data aggregate/figure</w:t>
            </w:r>
          </w:p>
        </w:tc>
        <w:tc>
          <w:tcPr>
            <w:tcW w:w="283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six-seed summary and PNG/PDF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Derived from original local rows</w:t>
            </w:r>
          </w:p>
        </w:tc>
        <w:tc>
          <w:tcPr>
            <w:tcW w:w="233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Exploratory figure/table</w:t>
            </w:r>
          </w:p>
        </w:tc>
      </w:tr>
      <w:tr>
        <w:trPr>
          <w:cantSplit/>
        </w:trPr>
        <w:tc>
          <w:tcPr>
            <w:tcW w:w="179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V7 April 6</w:t>
            </w:r>
          </w:p>
        </w:tc>
        <w:tc>
          <w:tcPr>
            <w:tcW w:w="283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result JSON recovered from user-captured log; local Drive-backed checkpoints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Reconstructed JSON + original local checkpoints</w:t>
            </w:r>
          </w:p>
        </w:tc>
        <w:tc>
          <w:tcPr>
            <w:tcW w:w="233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Single-run engineering case-study</w:t>
            </w:r>
          </w:p>
        </w:tc>
      </w:tr>
      <w:tr>
        <w:trPr>
          <w:cantSplit/>
        </w:trPr>
        <w:tc>
          <w:tcPr>
            <w:tcW w:w="179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V7 April 27</w:t>
            </w:r>
          </w:p>
        </w:tc>
        <w:tc>
          <w:tcPr>
            <w:tcW w:w="283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result JSON recovered from captured notebook; local Drive-backed checkpoints; Drive</w:t>
            </w:r>
            <w:r>
              <w:rPr>
                <w:rFonts w:ascii="Calibri" w:hAnsi="Calibri" w:eastAsia="Calibri"/>
                <w:color w:val="0B2545"/>
                <w:sz w:val="18"/>
              </w:rPr>
              <w:t xml:space="preserve"> </w:t>
            </w:r>
            <w:r>
              <w:rPr>
                <w:rStyle w:val="VerbatimChar"/>
                <w:rFonts w:ascii="Calibri" w:hAnsi="Calibri" w:eastAsia="Calibri"/>
                <w:color w:val="0B2545"/>
                <w:sz w:val="18"/>
              </w:rPr>
              <w:t xml:space="preserve">experiments/</w:t>
            </w:r>
            <w:r>
              <w:rPr>
                <w:rFonts w:ascii="Calibri" w:hAnsi="Calibri" w:eastAsia="Calibri"/>
                <w:color w:val="0B2545"/>
                <w:sz w:val="18"/>
              </w:rPr>
              <w:t xml:space="preserve"> </w:t>
            </w:r>
            <w:r>
              <w:rPr>
                <w:rFonts w:ascii="Calibri" w:hAnsi="Calibri" w:eastAsia="Calibri"/>
                <w:color w:val="0B2545"/>
                <w:sz w:val="18"/>
              </w:rPr>
              <w:t xml:space="preserve">folder empty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Reconstructed JSON + original local checkpoints</w:t>
            </w:r>
          </w:p>
        </w:tc>
        <w:tc>
          <w:tcPr>
            <w:tcW w:w="233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Clean single-run engineering case-study</w:t>
            </w:r>
          </w:p>
        </w:tc>
      </w:tr>
      <w:tr>
        <w:trPr>
          <w:cantSplit/>
        </w:trPr>
        <w:tc>
          <w:tcPr>
            <w:tcW w:w="179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historical V4</w:t>
            </w:r>
          </w:p>
        </w:tc>
        <w:tc>
          <w:tcPr>
            <w:tcW w:w="2834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narrative metrics without preserved exact source snapshot/parameter-state evidence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Unresolved historical provenance</w:t>
            </w:r>
          </w:p>
        </w:tc>
        <w:tc>
          <w:tcPr>
            <w:tcW w:w="233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Historical context only</w:t>
            </w:r>
          </w:p>
        </w:tc>
      </w:tr>
    </w:tbl>
    <w:bookmarkEnd w:id="10"/>
    <w:bookmarkStart w:id="11" w:name="key-provenance-notes"/>
    <w:p>
      <w:pPr>
        <w:pStyle w:val="Heading2"/>
        <w:keepNext/>
        <w:spacing w:before="160"/>
      </w:pPr>
      <w:r>
        <w:t xml:space="preserve">Key Provenance Notes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experiments/drive_artifact_reconciliation_20260809.json</w:t>
      </w:r>
      <w:r>
        <w:t xml:space="preserve"> </w:t>
      </w:r>
      <w:r>
        <w:t xml:space="preserve">inventories all 138 files under</w:t>
      </w:r>
      <w:r>
        <w:t xml:space="preserve"> </w:t>
      </w:r>
      <w:r>
        <w:rPr>
          <w:rStyle w:val="VerbatimChar"/>
        </w:rPr>
        <w:t xml:space="preserve">experiments/Drive/quanv_results</w:t>
      </w:r>
      <w:r>
        <w:t xml:space="preserve"> </w:t>
      </w:r>
      <w:r>
        <w:t xml:space="preserve">with SHA-256 hashes. The 40 downloaded current-local JSON rows for seeds 43--47 agree with the former notebook reconstructions on all result-bearing fields and are now canonical byte-original rows.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experiments/low_data_reconstruction_manifest_20260728.json</w:t>
      </w:r>
      <w:r>
        <w:t xml:space="preserve"> </w:t>
      </w:r>
      <w:r>
        <w:t xml:space="preserve">is retained as a superseded historical record; it is not the current low-data evidence source.</w:t>
      </w:r>
    </w:p>
    <w:p>
      <w:pPr>
        <w:pStyle w:val="Compact"/>
        <w:numPr>
          <w:ilvl w:val="0"/>
          <w:numId w:val="1002"/>
        </w:numPr>
      </w:pPr>
      <w:r>
        <w:t xml:space="preserve">All 40 downloaded seed-43--47 best checkpoints load successfully. Together with the 16 seed-42 checkpoints,</w:t>
      </w:r>
      <w:r>
        <w:t xml:space="preserve"> </w:t>
      </w:r>
      <w:r>
        <w:rPr>
          <w:rStyle w:val="VerbatimChar"/>
        </w:rPr>
        <w:t xml:space="preserve">models/low_data</w:t>
      </w:r>
      <w:r>
        <w:t xml:space="preserve"> </w:t>
      </w:r>
      <w:r>
        <w:t xml:space="preserve">contains the complete expected 56-checkpoint set.</w:t>
      </w:r>
    </w:p>
    <w:p>
      <w:pPr>
        <w:pStyle w:val="Compact"/>
        <w:numPr>
          <w:ilvl w:val="0"/>
          <w:numId w:val="1002"/>
        </w:numPr>
      </w:pPr>
      <w:r>
        <w:t xml:space="preserve">Seed 42 used a parser state with 3,427 loaded training images; Colab seeds 43--47 report 3,428. The one-image subset drift remains disclosed and the analysis remains near-matched.</w:t>
      </w:r>
    </w:p>
    <w:p>
      <w:pPr>
        <w:pStyle w:val="Compact"/>
        <w:numPr>
          <w:ilvl w:val="0"/>
          <w:numId w:val="1002"/>
        </w:numPr>
      </w:pPr>
      <w:r>
        <w:t xml:space="preserve">Full-data and low-data class-aware rows are accepted only when regenerated top-1 accuracy matches the source experiment JSON within tolerance.</w:t>
      </w:r>
    </w:p>
    <w:p>
      <w:pPr>
        <w:pStyle w:val="Compact"/>
        <w:numPr>
          <w:ilvl w:val="0"/>
          <w:numId w:val="1002"/>
        </w:numPr>
      </w:pPr>
      <w:r>
        <w:t xml:space="preserve">The public Kaggle version-1 archive contains the same 3,894 PNG files as the local</w:t>
      </w:r>
      <w:r>
        <w:t xml:space="preserve"> </w:t>
      </w:r>
      <w:r>
        <w:rPr>
          <w:rStyle w:val="VerbatimChar"/>
        </w:rPr>
        <w:t xml:space="preserve">set/train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set/test</w:t>
      </w:r>
      <w:r>
        <w:t xml:space="preserve"> </w:t>
      </w:r>
      <w:r>
        <w:t xml:space="preserve">directories, with no missing, extra, or content-mismatched image. The downloaded archive SHA-256 is</w:t>
      </w:r>
      <w:r>
        <w:t xml:space="preserve"> </w:t>
      </w:r>
      <w:r>
        <w:rPr>
          <w:rStyle w:val="VerbatimChar"/>
        </w:rPr>
        <w:t xml:space="preserve">35b68d7f7e677e591d2305c573ce350914042f0f7e5b2fa79d2cb16415563885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reported legacy V7 runs did not record a complete deterministic split/order protocol and tested the final in-memory model. The repaired future code path is not used to upgrade those legacy results.</w:t>
      </w:r>
    </w:p>
    <w:p>
      <w:pPr>
        <w:pStyle w:val="Compact"/>
        <w:numPr>
          <w:ilvl w:val="0"/>
          <w:numId w:val="1002"/>
        </w:numPr>
      </w:pPr>
      <w:r>
        <w:t xml:space="preserve">Current</w:t>
      </w:r>
      <w:r>
        <w:t xml:space="preserve"> </w:t>
      </w:r>
      <w:r>
        <w:rPr>
          <w:rStyle w:val="VerbatimChar"/>
        </w:rPr>
        <w:t xml:space="preserve">src/model.py</w:t>
      </w:r>
      <w:r>
        <w:t xml:space="preserve"> </w:t>
      </w:r>
      <w:r>
        <w:t xml:space="preserve">makes the quantum TorchLayer trainable; therefore the historical statement that reported V4 had zero trainable quantum parameters is not independently recoverable and is not asserted as fact.</w:t>
      </w:r>
    </w:p>
    <w:p>
      <w:pPr>
        <w:pStyle w:val="Compact"/>
        <w:numPr>
          <w:ilvl w:val="0"/>
          <w:numId w:val="1002"/>
        </w:numPr>
      </w:pPr>
      <w:r>
        <w:t xml:space="preserve">The repository-wide SHA-256 inventory is generated by</w:t>
      </w:r>
      <w:r>
        <w:t xml:space="preserve"> </w:t>
      </w:r>
      <w:r>
        <w:rPr>
          <w:rStyle w:val="VerbatimChar"/>
        </w:rPr>
        <w:t xml:space="preserve">scripts/build_submission_manifest.py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experiments/submission_artifact_manifest_20260728.json</w:t>
      </w:r>
      <w:r>
        <w:t xml:space="preserve">.</w:t>
      </w:r>
    </w:p>
    <w:bookmarkEnd w:id="11"/>
    <w:bookmarkStart w:id="12" w:name="remaining-provenance-or-human-items"/>
    <w:p>
      <w:pPr>
        <w:pStyle w:val="Heading2"/>
        <w:keepNext/>
      </w:pPr>
      <w:r>
        <w:t xml:space="preserve">Remaining Provenance Or Human Items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Ind w:w="120" w:type="dxa"/>
        <w:tblBorders>
          <w:top w:val="single" w:sz="3" w:color="D7DEE8"/>
          <w:left w:val="single" w:sz="3" w:color="D7DEE8"/>
          <w:bottom w:val="single" w:sz="3" w:color="D7DEE8"/>
          <w:right w:val="single" w:sz="3" w:color="D7DEE8"/>
          <w:insideH w:val="single" w:sz="3" w:color="D7DEE8"/>
          <w:insideV w:val="single" w:sz="3" w:color="D7DEE8"/>
        </w:tblBorders>
      </w:tblPr>
      <w:tblGrid>
        <w:gridCol w:w="2346"/>
        <w:gridCol w:w="3506"/>
        <w:gridCol w:w="3508"/>
      </w:tblGrid>
      <w:tr>
        <w:trPr>
          <w:tblHeader w:val="on"/>
          <w:cantSplit/>
          <w:tblHeader w:val="true"/>
        </w:trPr>
        <w:tc>
          <w:tcPr>
            <w:tcW w:w="234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Item</w:t>
            </w:r>
          </w:p>
        </w:tc>
        <w:tc>
          <w:tcPr>
            <w:tcW w:w="350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Current fact</w:t>
            </w:r>
          </w:p>
        </w:tc>
        <w:tc>
          <w:tcPr>
            <w:tcW w:w="350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 xml:space="preserve">Required treatment</w:t>
            </w:r>
          </w:p>
        </w:tc>
      </w:tr>
      <w:tr>
        <w:trPr>
          <w:cantSplit/>
        </w:trPr>
        <w:tc>
          <w:tcPr>
            <w:tcW w:w="234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April V7 raw JSON</w:t>
            </w:r>
          </w:p>
        </w:tc>
        <w:tc>
          <w:tcPr>
            <w:tcW w:w="350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No JSON exists in the downloaded Drive folders</w:t>
            </w:r>
          </w:p>
        </w:tc>
        <w:tc>
          <w:tcPr>
            <w:tcW w:w="350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Retain reconstructed labels; no hygiene rerun required</w:t>
            </w:r>
          </w:p>
        </w:tc>
      </w:tr>
      <w:tr>
        <w:trPr>
          <w:cantSplit/>
        </w:trPr>
        <w:tc>
          <w:tcPr>
            <w:tcW w:w="234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Exact legacy Colab package lock</w:t>
            </w:r>
          </w:p>
        </w:tc>
        <w:tc>
          <w:tcPr>
            <w:tcW w:w="350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Not captured with the April runs</w:t>
            </w:r>
          </w:p>
        </w:tc>
        <w:tc>
          <w:tcPr>
            <w:tcW w:w="350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Retain limitation; do not claim exact environment reproduction</w:t>
            </w:r>
          </w:p>
        </w:tc>
      </w:tr>
      <w:tr>
        <w:trPr>
          <w:cantSplit/>
        </w:trPr>
        <w:tc>
          <w:tcPr>
            <w:tcW w:w="234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Historical V4 source snapshot</w:t>
            </w:r>
          </w:p>
        </w:tc>
        <w:tc>
          <w:tcPr>
            <w:tcW w:w="350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No immutable code/checkpoint pair identified</w:t>
            </w:r>
          </w:p>
        </w:tc>
        <w:tc>
          <w:tcPr>
            <w:tcW w:w="350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Keep historical-only wording unless an archive is found</w:t>
            </w:r>
          </w:p>
        </w:tc>
      </w:tr>
      <w:tr>
        <w:trPr>
          <w:cantSplit/>
        </w:trPr>
        <w:tc>
          <w:tcPr>
            <w:tcW w:w="234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Dataset redistribution</w:t>
            </w:r>
          </w:p>
        </w:tc>
        <w:tc>
          <w:tcPr>
            <w:tcW w:w="350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Public Kaggle source, license label “GPL 2,” local image identity verified</w:t>
            </w:r>
          </w:p>
        </w:tc>
        <w:tc>
          <w:tcPr>
            <w:tcW w:w="350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Link to Kaggle; do not repackage images without preserving license and attribution</w:t>
            </w:r>
          </w:p>
        </w:tc>
      </w:tr>
      <w:tr>
        <w:trPr>
          <w:cantSplit/>
        </w:trPr>
        <w:tc>
          <w:tcPr>
            <w:tcW w:w="234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Author declarations</w:t>
            </w:r>
          </w:p>
        </w:tc>
        <w:tc>
          <w:tcPr>
            <w:tcW w:w="3506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Two authors and no external funding are known; first-author details, COI, CRediT, correspondence, ORCIDs and final approval remain human decisions</w:t>
            </w:r>
          </w:p>
        </w:tc>
        <w:tc>
          <w:tcPr>
            <w:tcW w:w="3508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pStyle w:val="Compact"/>
              <w:spacing w:before="0" w:after="40" w:line="252" w:lineRule="auto"/>
              <w:jc w:val="left"/>
            </w:pPr>
            <w:r>
              <w:rPr>
                <w:rFonts w:ascii="Calibri" w:hAnsi="Calibri" w:eastAsia="Calibri"/>
                <w:color w:val="0B2545"/>
                <w:sz w:val="18"/>
              </w:rPr>
              <w:t xml:space="preserve">Complete before external submission</w:t>
            </w:r>
          </w:p>
        </w:tc>
      </w:tr>
    </w:tbl>
    <w:bookmarkEnd w:id="12"/>
    <w:bookmarkStart w:id="13" w:name="submission-policy"/>
    <w:p>
      <w:pPr>
        <w:pStyle w:val="Heading2"/>
        <w:keepNext/>
        <w:spacing w:before="160"/>
      </w:pPr>
      <w:r>
        <w:t xml:space="preserve">Submission Policy</w:t>
      </w:r>
    </w:p>
    <w:p>
      <w:pPr>
        <w:pStyle w:val="FirstParagraph"/>
      </w:pPr>
      <w:r>
        <w:t xml:space="preserve">Reconstructed V7 artifacts may support transparently qualified engineering claims, but must never be described as raw/original JSON. The submission archive should contain the reconciliation/manifest records and all legally shareable original artifacts. Dataset hashes identify the exact local snapshot without redistributing the licensed images.</w:t>
      </w:r>
    </w:p>
    <w:bookmarkEnd w:id="13"/>
    <w:bookmarkEnd w:id="14"/>
    <w:sectPr>
      <w:headerReference w:type="default" r:id="rId9"/>
      <w:footerReference w:type="default" r:id="rId10"/>
      <w:footnotePr>
        <w:numRestart w:val="eachSect"/>
      </w:footnotePr>
      <w:pgSz w:w="12240" w:h="15840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6666"/>
        <w:sz w:val="17"/>
      </w:rPr>
      <w:t xml:space="preserve">Page </w:t>
    </w:r>
    <w:r>
      <w:rPr>
        <w:rFonts w:ascii="Calibri" w:hAnsi="Calibri" w:eastAsia="Calibri"/>
        <w:color w:val="666666"/>
        <w:sz w:val="17"/>
      </w:rPr>
      <w:fldChar w:fldCharType="begin"/>
      <w:instrText xml:space="preserve"> PAGE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color w:val="666666"/>
        <w:sz w:val="17"/>
      </w:rPr>
      <w:t>Ottoman QML OCR | Provenance Ledger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300" w:lineRule="auto"/>
    </w:pPr>
    <w:rPr>
      <w:rFonts w:ascii="Calibri" w:hAnsi="Calibri"/>
      <w:b w:val="0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20" w:before="0" w:line="300" w:lineRule="auto"/>
    </w:pPr>
    <w:rPr>
      <w:rFonts w:ascii="Calibri" w:hAnsi="Calibri"/>
      <w:b w:val="0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before="0" w:after="120" w:line="300" w:lineRule="auto"/>
    </w:pPr>
    <w:rPr>
      <w:rFonts w:ascii="Calibri" w:hAnsi="Calibri"/>
      <w:b w:val="0"/>
      <w:color w:val="000000"/>
      <w:sz w:val="22"/>
    </w:rPr>
  </w:style>
  <w:style w:customStyle="1" w:styleId="Compact" w:type="paragraph">
    <w:name w:val="Compact"/>
    <w:basedOn w:val="BodyText"/>
    <w:qFormat/>
    <w:pPr>
      <w:spacing w:after="80" w:before="0" w:line="300" w:lineRule="auto"/>
    </w:pPr>
    <w:rPr>
      <w:rFonts w:ascii="Calibri" w:hAnsi="Calibri"/>
      <w:b w:val="0"/>
      <w:color w:val="000000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360" w:line="240" w:lineRule="auto"/>
      <w:outlineLvl w:val="0"/>
    </w:pPr>
    <w:rPr>
      <w:rFonts w:asciiTheme="majorHAnsi" w:cstheme="majorBidi" w:eastAsiaTheme="majorEastAsia" w:hAnsiTheme="majorHAnsi" w:ascii="Calibri" w:hAnsi="Calibri"/>
      <w:b/>
      <w:color w:val="2E74B5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40" w:before="280" w:line="240" w:lineRule="auto"/>
      <w:outlineLvl w:val="1"/>
    </w:pPr>
    <w:rPr>
      <w:rFonts w:asciiTheme="majorHAnsi" w:cstheme="majorBidi" w:eastAsiaTheme="majorEastAsia" w:hAnsiTheme="majorHAnsi" w:ascii="Calibri" w:hAnsi="Calibri"/>
      <w:b/>
      <w:color w:val="2E74B5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00" w:line="240" w:lineRule="auto"/>
      <w:outlineLvl w:val="2"/>
    </w:pPr>
    <w:rPr>
      <w:rFonts w:cstheme="majorBidi" w:eastAsiaTheme="majorEastAsia" w:ascii="Calibri" w:hAnsi="Calibri"/>
      <w:b/>
      <w:color w:val="1F4D78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2026-08-09T15:02:00Z</dcterms:created>
  <dcterms:modified xsi:type="dcterms:W3CDTF">2026-08-09T15:02:00Z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