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lass-aware-classification-evidence"/>
    <w:p>
      <w:pPr>
        <w:pStyle w:val="Heading1"/>
        <w:keepNext/>
        <w:spacing w:before="0" w:after="280" w:line="240" w:lineRule="auto"/>
        <w:jc w:val="left"/>
      </w:pPr>
      <w:r>
        <w:rPr>
          <w:rFonts w:ascii="Calibri" w:hAnsi="Calibri" w:eastAsia="Calibri"/>
          <w:b/>
          <w:color w:val="0B2545"/>
          <w:sz w:val="46"/>
        </w:rPr>
        <w:t xml:space="preserve">Class-Aware Classification Evidence</w:t>
      </w:r>
    </w:p>
    <w:p>
      <w:pPr>
        <w:pStyle w:val="FirstParagraph"/>
        <w:spacing w:after="240"/>
      </w:pPr>
      <w:r>
        <w:rPr>
          <w:rFonts w:ascii="Calibri" w:hAnsi="Calibri" w:eastAsia="Calibri"/>
          <w:b/>
          <w:bCs/>
          <w:i/>
          <w:color w:val="666666"/>
          <w:sz w:val="20"/>
        </w:rPr>
        <w:t xml:space="preserve">Date: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Fonts w:ascii="Calibri" w:hAnsi="Calibri" w:eastAsia="Calibri"/>
          <w:i/>
          <w:color w:val="666666"/>
          <w:sz w:val="20"/>
        </w:rPr>
        <w:t xml:space="preserve">2026-07-28</w:t>
      </w:r>
    </w:p>
    <w:p>
      <w:pPr>
        <w:pStyle w:val="BodyText"/>
      </w:pPr>
      <w:r>
        <w:t xml:space="preserve">Generated by inference from the saved best-validation checkpoints. No training is performed.</w:t>
      </w:r>
      <w:r>
        <w:t xml:space="preserve"> </w:t>
      </w:r>
      <w:r>
        <w:t xml:space="preserve">Top-1 accuracy is required to match the corresponding experiment JSON within the configured tolerance before a row is accepted.</w:t>
      </w:r>
    </w:p>
    <w:bookmarkStart w:id="9" w:name="three-seed-test-metrics"/>
    <w:p>
      <w:pPr>
        <w:pStyle w:val="Heading2"/>
        <w:keepNext/>
      </w:pPr>
      <w:r>
        <w:t xml:space="preserve">Three-Seed Test Metrics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1408"/>
        <w:gridCol w:w="1416"/>
        <w:gridCol w:w="1077"/>
        <w:gridCol w:w="1352"/>
        <w:gridCol w:w="1352"/>
        <w:gridCol w:w="1388"/>
        <w:gridCol w:w="1367"/>
      </w:tblGrid>
      <w:tr>
        <w:trPr>
          <w:tblHeader w:val="on"/>
          <w:cantSplit/>
          <w:tblHeader w:val="true"/>
        </w:trPr>
        <w:tc>
          <w:tcPr>
            <w:tcW w:w="1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Family</w:t>
            </w:r>
          </w:p>
        </w:tc>
        <w:tc>
          <w:tcPr>
            <w:tcW w:w="14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Model</w:t>
            </w:r>
          </w:p>
        </w:tc>
        <w:tc>
          <w:tcPr>
            <w:tcW w:w="107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Runs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Accuracy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Macro-F1</w:t>
            </w:r>
          </w:p>
        </w:tc>
        <w:tc>
          <w:tcPr>
            <w:tcW w:w="13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Balanced Accuracy</w:t>
            </w:r>
          </w:p>
        </w:tc>
        <w:tc>
          <w:tcPr>
            <w:tcW w:w="136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Weighted-F1</w:t>
            </w:r>
          </w:p>
        </w:tc>
      </w:tr>
      <w:tr>
        <w:trPr>
          <w:cantSplit/>
        </w:trPr>
        <w:tc>
          <w:tcPr>
            <w:tcW w:w="1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modern-classical</w:t>
            </w:r>
          </w:p>
        </w:tc>
        <w:tc>
          <w:tcPr>
            <w:tcW w:w="14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resnet18_cifar_gray</w:t>
            </w:r>
          </w:p>
        </w:tc>
        <w:tc>
          <w:tcPr>
            <w:tcW w:w="107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88.13 ± 0.81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81.85 ± 1.53</w:t>
            </w:r>
          </w:p>
        </w:tc>
        <w:tc>
          <w:tcPr>
            <w:tcW w:w="13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85.17 ± 1.33</w:t>
            </w:r>
          </w:p>
        </w:tc>
        <w:tc>
          <w:tcPr>
            <w:tcW w:w="136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88.21 ± 0.85</w:t>
            </w:r>
          </w:p>
        </w:tc>
      </w:tr>
      <w:tr>
        <w:trPr>
          <w:cantSplit/>
        </w:trPr>
        <w:tc>
          <w:tcPr>
            <w:tcW w:w="1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thesis-faithful</w:t>
            </w:r>
          </w:p>
        </w:tc>
        <w:tc>
          <w:tcPr>
            <w:tcW w:w="14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thesis_cnniiii</w:t>
            </w:r>
          </w:p>
        </w:tc>
        <w:tc>
          <w:tcPr>
            <w:tcW w:w="107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85.26 ± 0.97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79.73 ± 1.22</w:t>
            </w:r>
          </w:p>
        </w:tc>
        <w:tc>
          <w:tcPr>
            <w:tcW w:w="13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83.65 ± 0.49</w:t>
            </w:r>
          </w:p>
        </w:tc>
        <w:tc>
          <w:tcPr>
            <w:tcW w:w="136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85.26 ± 1.00</w:t>
            </w:r>
          </w:p>
        </w:tc>
      </w:tr>
      <w:tr>
        <w:trPr>
          <w:cantSplit/>
        </w:trPr>
        <w:tc>
          <w:tcPr>
            <w:tcW w:w="1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thesis-faithful</w:t>
            </w:r>
          </w:p>
        </w:tc>
        <w:tc>
          <w:tcPr>
            <w:tcW w:w="14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thesis_cnn3</w:t>
            </w:r>
          </w:p>
        </w:tc>
        <w:tc>
          <w:tcPr>
            <w:tcW w:w="107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79.33 ± 1.26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72.76 ± 3.29</w:t>
            </w:r>
          </w:p>
        </w:tc>
        <w:tc>
          <w:tcPr>
            <w:tcW w:w="13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74.02 ± 2.92</w:t>
            </w:r>
          </w:p>
        </w:tc>
        <w:tc>
          <w:tcPr>
            <w:tcW w:w="136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79.01 ± 1.37</w:t>
            </w:r>
          </w:p>
        </w:tc>
      </w:tr>
      <w:tr>
        <w:trPr>
          <w:cantSplit/>
        </w:trPr>
        <w:tc>
          <w:tcPr>
            <w:tcW w:w="1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thesis-faithful</w:t>
            </w:r>
          </w:p>
        </w:tc>
        <w:tc>
          <w:tcPr>
            <w:tcW w:w="14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thesis_hqnn2</w:t>
            </w:r>
          </w:p>
        </w:tc>
        <w:tc>
          <w:tcPr>
            <w:tcW w:w="107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78.61 ± 0.69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71.93 ± 1.44</w:t>
            </w:r>
          </w:p>
        </w:tc>
        <w:tc>
          <w:tcPr>
            <w:tcW w:w="13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73.33 ± 1.27</w:t>
            </w:r>
          </w:p>
        </w:tc>
        <w:tc>
          <w:tcPr>
            <w:tcW w:w="136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78.07 ± 0.76</w:t>
            </w:r>
          </w:p>
        </w:tc>
      </w:tr>
      <w:tr>
        <w:trPr>
          <w:cantSplit/>
        </w:trPr>
        <w:tc>
          <w:tcPr>
            <w:tcW w:w="1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</w:t>
            </w:r>
          </w:p>
        </w:tc>
        <w:tc>
          <w:tcPr>
            <w:tcW w:w="14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classical_conv</w:t>
            </w:r>
          </w:p>
        </w:tc>
        <w:tc>
          <w:tcPr>
            <w:tcW w:w="107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81.40 ± 1.06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71.09 ± 0.43</w:t>
            </w:r>
          </w:p>
        </w:tc>
        <w:tc>
          <w:tcPr>
            <w:tcW w:w="13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71.89 ± 0.31</w:t>
            </w:r>
          </w:p>
        </w:tc>
        <w:tc>
          <w:tcPr>
            <w:tcW w:w="136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80.98 ± 0.79</w:t>
            </w:r>
          </w:p>
        </w:tc>
      </w:tr>
      <w:tr>
        <w:trPr>
          <w:cantSplit/>
        </w:trPr>
        <w:tc>
          <w:tcPr>
            <w:tcW w:w="1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</w:t>
            </w:r>
          </w:p>
        </w:tc>
        <w:tc>
          <w:tcPr>
            <w:tcW w:w="14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param_linear</w:t>
            </w:r>
          </w:p>
        </w:tc>
        <w:tc>
          <w:tcPr>
            <w:tcW w:w="107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81.12 ± 2.27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71.29 ± 5.03</w:t>
            </w:r>
          </w:p>
        </w:tc>
        <w:tc>
          <w:tcPr>
            <w:tcW w:w="13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71.37 ± 5.21</w:t>
            </w:r>
          </w:p>
        </w:tc>
        <w:tc>
          <w:tcPr>
            <w:tcW w:w="136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80.40 ± 2.42</w:t>
            </w:r>
          </w:p>
        </w:tc>
      </w:tr>
      <w:tr>
        <w:trPr>
          <w:cantSplit/>
        </w:trPr>
        <w:tc>
          <w:tcPr>
            <w:tcW w:w="1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</w:t>
            </w:r>
          </w:p>
        </w:tc>
        <w:tc>
          <w:tcPr>
            <w:tcW w:w="14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non_trainable_quantum</w:t>
            </w:r>
          </w:p>
        </w:tc>
        <w:tc>
          <w:tcPr>
            <w:tcW w:w="107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80.40 ± 0.69</w:t>
            </w:r>
          </w:p>
        </w:tc>
        <w:tc>
          <w:tcPr>
            <w:tcW w:w="13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72.76 ± 1.52</w:t>
            </w:r>
          </w:p>
        </w:tc>
        <w:tc>
          <w:tcPr>
            <w:tcW w:w="13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74.86 ± 1.78</w:t>
            </w:r>
          </w:p>
        </w:tc>
        <w:tc>
          <w:tcPr>
            <w:tcW w:w="136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79.78 ± 0.91</w:t>
            </w:r>
          </w:p>
        </w:tc>
      </w:tr>
    </w:tbl>
    <w:bookmarkEnd w:id="9"/>
    <w:bookmarkStart w:id="10" w:name="lowest-recall-classes"/>
    <w:p>
      <w:pPr>
        <w:pStyle w:val="Heading2"/>
        <w:keepNext/>
      </w:pPr>
      <w:r>
        <w:t xml:space="preserve">Lowest-Recall Classes</w:t>
      </w:r>
    </w:p>
    <w:p>
      <w:pPr>
        <w:pStyle w:val="FirstParagraph"/>
      </w:pPr>
      <w:r>
        <w:t xml:space="preserve">The five lowest mean-recall classes are listed per model to expose class-imbalance and morphology-sensitive failure modes.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3069"/>
        <w:gridCol w:w="6291"/>
      </w:tblGrid>
      <w:tr>
        <w:trPr>
          <w:tblHeader w:val="on"/>
          <w:cantSplit/>
          <w:tblHeader w:val="true"/>
        </w:trPr>
        <w:tc>
          <w:tcPr>
            <w:tcW w:w="306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Model</w:t>
            </w:r>
          </w:p>
        </w:tc>
        <w:tc>
          <w:tcPr>
            <w:tcW w:w="62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Lowest-recall classes (mean recall %)</w:t>
            </w:r>
          </w:p>
        </w:tc>
      </w:tr>
      <w:tr>
        <w:trPr>
          <w:cantSplit/>
        </w:trPr>
        <w:tc>
          <w:tcPr>
            <w:tcW w:w="306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resnet18_cifar_gray</w:t>
            </w:r>
          </w:p>
        </w:tc>
        <w:tc>
          <w:tcPr>
            <w:tcW w:w="62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gef: 0.00, zel: 33.33, pe: 33.33, hı: 46.67, se: 50.00</w:t>
            </w:r>
          </w:p>
        </w:tc>
      </w:tr>
      <w:tr>
        <w:trPr>
          <w:cantSplit/>
        </w:trPr>
        <w:tc>
          <w:tcPr>
            <w:tcW w:w="306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thesis_cnniiii</w:t>
            </w:r>
          </w:p>
        </w:tc>
        <w:tc>
          <w:tcPr>
            <w:tcW w:w="62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se: 33.33, zel: 33.33, pe: 33.33, gef: 33.33, hı: 46.67</w:t>
            </w:r>
          </w:p>
        </w:tc>
      </w:tr>
      <w:tr>
        <w:trPr>
          <w:cantSplit/>
        </w:trPr>
        <w:tc>
          <w:tcPr>
            <w:tcW w:w="306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thesis_cnn3</w:t>
            </w:r>
          </w:p>
        </w:tc>
        <w:tc>
          <w:tcPr>
            <w:tcW w:w="62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se: 0.00, gef: 0.00, zel: 33.33, pe: 33.33, 5: 33.33</w:t>
            </w:r>
          </w:p>
        </w:tc>
      </w:tr>
      <w:tr>
        <w:trPr>
          <w:cantSplit/>
        </w:trPr>
        <w:tc>
          <w:tcPr>
            <w:tcW w:w="306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thesis_hqnn2</w:t>
            </w:r>
          </w:p>
        </w:tc>
        <w:tc>
          <w:tcPr>
            <w:tcW w:w="62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pe: 0.00, gef: 0.00, 0: 0.00, se: 16.67, zel: 33.33</w:t>
            </w:r>
          </w:p>
        </w:tc>
      </w:tr>
      <w:tr>
        <w:trPr>
          <w:cantSplit/>
        </w:trPr>
        <w:tc>
          <w:tcPr>
            <w:tcW w:w="306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classical_conv</w:t>
            </w:r>
          </w:p>
        </w:tc>
        <w:tc>
          <w:tcPr>
            <w:tcW w:w="62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se: 0.00, pe: 0.00, gef: 0.00, 5: 0.00, zel: 33.33</w:t>
            </w:r>
          </w:p>
        </w:tc>
      </w:tr>
      <w:tr>
        <w:trPr>
          <w:cantSplit/>
        </w:trPr>
        <w:tc>
          <w:tcPr>
            <w:tcW w:w="306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param_linear</w:t>
            </w:r>
          </w:p>
        </w:tc>
        <w:tc>
          <w:tcPr>
            <w:tcW w:w="62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se: 0.00, pe: 0.00, gef: 0.00, zel: 22.22, 0: 33.33</w:t>
            </w:r>
          </w:p>
        </w:tc>
      </w:tr>
      <w:tr>
        <w:trPr>
          <w:cantSplit/>
        </w:trPr>
        <w:tc>
          <w:tcPr>
            <w:tcW w:w="306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non_trainable_quantum</w:t>
            </w:r>
          </w:p>
        </w:tc>
        <w:tc>
          <w:tcPr>
            <w:tcW w:w="62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se: 0.00, gef: 0.00, pe: 16.67, zı: 25.00, zel: 33.33</w:t>
            </w:r>
          </w:p>
        </w:tc>
      </w:tr>
    </w:tbl>
    <w:bookmarkEnd w:id="10"/>
    <w:bookmarkStart w:id="11" w:name="provenance"/>
    <w:p>
      <w:pPr>
        <w:pStyle w:val="Heading2"/>
        <w:keepNext/>
      </w:pPr>
      <w:r>
        <w:t xml:space="preserve">Provenance</w:t>
      </w:r>
    </w:p>
    <w:p>
      <w:pPr>
        <w:pStyle w:val="Compact"/>
        <w:numPr>
          <w:ilvl w:val="0"/>
          <w:numId w:val="1001"/>
        </w:numPr>
      </w:pPr>
      <w:r>
        <w:t xml:space="preserve">Predictions come from the repository's saved per-seed best-validation checkpoints.</w:t>
      </w:r>
    </w:p>
    <w:p>
      <w:pPr>
        <w:pStyle w:val="Compact"/>
        <w:numPr>
          <w:ilvl w:val="0"/>
          <w:numId w:val="1001"/>
        </w:numPr>
      </w:pPr>
      <w:r>
        <w:t xml:space="preserve">Raw-image models use the fixed repository test split.</w:t>
      </w:r>
    </w:p>
    <w:p>
      <w:pPr>
        <w:pStyle w:val="Compact"/>
        <w:numPr>
          <w:ilvl w:val="0"/>
          <w:numId w:val="1001"/>
        </w:numPr>
      </w:pPr>
      <w:r>
        <w:t xml:space="preserve">Quantum-preprocessing models use the cache key recorded in each experiment JSON.</w:t>
      </w:r>
    </w:p>
    <w:p>
      <w:pPr>
        <w:pStyle w:val="Compact"/>
        <w:numPr>
          <w:ilvl w:val="0"/>
          <w:numId w:val="1001"/>
        </w:numPr>
      </w:pPr>
      <w:r>
        <w:t xml:space="preserve">Per-run confusion matrices and all 44 per-class metrics are stored in the companion JSON.</w:t>
      </w:r>
    </w:p>
    <w:bookmarkEnd w:id="11"/>
    <w:bookmarkEnd w:id="12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666"/>
        <w:sz w:val="17"/>
      </w:rPr>
      <w:t xml:space="preserve">Page </w:t>
    </w:r>
    <w:r>
      <w:rPr>
        <w:rFonts w:ascii="Calibri" w:hAnsi="Calibri" w:eastAsia="Calibri"/>
        <w:color w:val="666666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color w:val="666666"/>
        <w:sz w:val="17"/>
      </w:rPr>
      <w:t>Ottoman QML OCR | Publication Evidence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300" w:lineRule="auto"/>
    </w:pPr>
    <w:rPr>
      <w:rFonts w:ascii="Calibri" w:hAnsi="Calibri"/>
      <w:b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customStyle="1" w:styleId="Compact" w:type="paragraph">
    <w:name w:val="Compact"/>
    <w:basedOn w:val="BodyText"/>
    <w:qFormat/>
    <w:pPr>
      <w:spacing w:after="80" w:before="0" w:line="300" w:lineRule="auto"/>
    </w:pPr>
    <w:rPr>
      <w:rFonts w:ascii="Calibri" w:hAnsi="Calibri"/>
      <w:b w:val="0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 w:line="240" w:lineRule="auto"/>
      <w:outlineLvl w:val="0"/>
    </w:pPr>
    <w:rPr>
      <w:rFonts w:asciiTheme="majorHAnsi" w:cstheme="majorBidi" w:eastAsiaTheme="majorEastAsia" w:hAnsiTheme="majorHAnsi" w:ascii="Calibri" w:hAnsi="Calibr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 w:line="240" w:lineRule="auto"/>
      <w:outlineLvl w:val="1"/>
    </w:pPr>
    <w:rPr>
      <w:rFonts w:asciiTheme="majorHAnsi" w:cstheme="majorBidi" w:eastAsiaTheme="majorEastAsia" w:hAnsiTheme="majorHAnsi" w:ascii="Calibri" w:hAnsi="Calibr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 w:line="240" w:lineRule="auto"/>
      <w:outlineLvl w:val="2"/>
    </w:pPr>
    <w:rPr>
      <w:rFonts w:cstheme="majorBidi" w:eastAsiaTheme="majorEastAsia" w:ascii="Calibri" w:hAnsi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2026-07-28T20:06:42Z</dcterms:created>
  <dcterms:modified xsi:type="dcterms:W3CDTF">2026-07-28T20:06:42Z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