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62cf5295ae44f7b9741a42e9b812737bab11f4"/>
    <w:p>
      <w:pPr>
        <w:pStyle w:val="Heading1"/>
        <w:keepNext/>
        <w:spacing w:before="0" w:after="280" w:line="240" w:lineRule="auto"/>
        <w:jc w:val="left"/>
      </w:pPr>
      <w:r>
        <w:rPr>
          <w:rFonts w:ascii="Arial" w:hAnsi="Arial" w:eastAsia="Arial"/>
          <w:b/>
          <w:color w:val="0B2545"/>
          <w:sz w:val="46"/>
        </w:rPr>
        <w:t xml:space="preserve">Hızlı Yayın Kararı ve Güncellenmiş Aday Matrisi</w:t>
      </w:r>
    </w:p>
    <w:p>
      <w:pPr>
        <w:pStyle w:val="FirstParagraph"/>
        <w:spacing w:after="240"/>
      </w:pPr>
      <w:r>
        <w:rPr>
          <w:rFonts w:ascii="Arial" w:hAnsi="Arial" w:eastAsia="Arial"/>
          <w:b/>
          <w:bCs/>
          <w:i/>
          <w:color w:val="666666"/>
          <w:sz w:val="20"/>
        </w:rPr>
        <w:t xml:space="preserve">İlk sürüm:</w:t>
      </w:r>
      <w:r>
        <w:rPr>
          <w:rFonts w:ascii="Arial" w:hAnsi="Arial" w:eastAsia="Arial"/>
          <w:i/>
          <w:color w:val="666666"/>
          <w:sz w:val="20"/>
        </w:rPr>
        <w:t xml:space="preserve"> </w:t>
      </w:r>
      <w:r>
        <w:rPr>
          <w:rFonts w:ascii="Arial" w:hAnsi="Arial" w:eastAsia="Arial"/>
          <w:i/>
          <w:color w:val="666666"/>
          <w:sz w:val="20"/>
        </w:rPr>
        <w:t xml:space="preserve">28 Temmuz 2026</w:t>
      </w:r>
      <w:r>
        <w:rPr>
          <w:rFonts w:ascii="Arial" w:hAnsi="Arial" w:eastAsia="Arial"/>
          <w:i/>
          <w:color w:val="666666"/>
          <w:sz w:val="20"/>
        </w:rPr>
        <w:br/>
      </w:r>
      <w:r>
        <w:rPr>
          <w:rFonts w:ascii="Arial" w:hAnsi="Arial" w:eastAsia="Arial"/>
          <w:b/>
          <w:bCs/>
          <w:i/>
          <w:color w:val="666666"/>
          <w:sz w:val="20"/>
        </w:rPr>
        <w:t xml:space="preserve">Son uzlaştırma:</w:t>
      </w:r>
      <w:r>
        <w:rPr>
          <w:rFonts w:ascii="Arial" w:hAnsi="Arial" w:eastAsia="Arial"/>
          <w:i/>
          <w:color w:val="666666"/>
          <w:sz w:val="20"/>
        </w:rPr>
        <w:t xml:space="preserve"> </w:t>
      </w:r>
      <w:r>
        <w:rPr>
          <w:rFonts w:ascii="Arial" w:hAnsi="Arial" w:eastAsia="Arial"/>
          <w:i/>
          <w:color w:val="666666"/>
          <w:sz w:val="20"/>
        </w:rPr>
        <w:t xml:space="preserve">9 Ağustos 2026</w:t>
      </w:r>
      <w:r>
        <w:rPr>
          <w:rFonts w:ascii="Arial" w:hAnsi="Arial" w:eastAsia="Arial"/>
          <w:i/>
          <w:color w:val="666666"/>
          <w:sz w:val="20"/>
        </w:rPr>
        <w:br/>
      </w:r>
      <w:r>
        <w:rPr>
          <w:rFonts w:ascii="Arial" w:hAnsi="Arial" w:eastAsia="Arial"/>
          <w:b/>
          <w:bCs/>
          <w:i/>
          <w:color w:val="666666"/>
          <w:sz w:val="20"/>
        </w:rPr>
        <w:t xml:space="preserve">Amaç:</w:t>
      </w:r>
      <w:r>
        <w:rPr>
          <w:rFonts w:ascii="Arial" w:hAnsi="Arial" w:eastAsia="Arial"/>
          <w:i/>
          <w:color w:val="666666"/>
          <w:sz w:val="20"/>
        </w:rPr>
        <w:t xml:space="preserve"> </w:t>
      </w:r>
      <w:r>
        <w:rPr>
          <w:rFonts w:ascii="Arial" w:hAnsi="Arial" w:eastAsia="Arial"/>
          <w:i/>
          <w:color w:val="666666"/>
          <w:sz w:val="20"/>
        </w:rPr>
        <w:t xml:space="preserve">En kısa sürede savunulabilir, kaliteli bir yayın üretmek; gereksiz model aramasını durdurmak.</w:t>
      </w:r>
    </w:p>
    <w:bookmarkStart w:id="9" w:name="yönetici-kararı"/>
    <w:p>
      <w:pPr>
        <w:pStyle w:val="Heading2"/>
        <w:keepNext/>
      </w:pPr>
      <w:r>
        <w:t xml:space="preserve">Yönetici Kararı</w:t>
      </w:r>
    </w:p>
    <w:p>
      <w:pPr>
        <w:pStyle w:val="FirstParagraph"/>
      </w:pPr>
      <w:r>
        <w:t xml:space="preserve">Ana yol,</w:t>
      </w:r>
      <w:r>
        <w:t xml:space="preserve"> </w:t>
      </w:r>
      <w:r>
        <w:rPr>
          <w:b/>
          <w:bCs/>
        </w:rPr>
        <w:t xml:space="preserve">yeni bir quantum mimari eğitmeden mevcut makaleyi hipotez-revizyonu ve adil benchmark çalışması olarak tamamlamaktır</w:t>
      </w:r>
      <w:r>
        <w:t xml:space="preserve">. 2024 tezindeki geniş "quantum yaklaşım yararlı/üstün olabilir" hipotezinin 2025--2026 güçlü klasik kontroller ve yeniden üretimler sonucunda daralması bilimsel olarak kabul edilebilir. Bunun için kronoloji açıkça yazılmalı, sonradan seçilen low-data analizi "exploratory/hypothesis-generating" olarak etiketlenmeli ve sonuçlar preregistered confirmation gibi sunulmamalıdır.</w:t>
      </w:r>
    </w:p>
    <w:p>
      <w:pPr>
        <w:pStyle w:val="BodyText"/>
      </w:pPr>
      <w:r>
        <w:t xml:space="preserve">Hız/kalite dengesi için tek düşük maliyetli ek deney adayı, mevcut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kontrolünü low-data gridinde aynı seed ve splitlerle çalıştırmaktır. Bu yeni mimari değildir; V7-benzeri quantum yolundaki 25 eğitilebilir parametreyi, 25 parametreli klasik bir linear dönüşümle değiştirir. Low-data fixed-quantum hattının kusursuz tek-değişkenli ikizi değildir, fakat alternatif kapasite kontrollü klasik referanstır. Bu deney özel alan submission'ı için zorunlu değildir ve danışman incelemesini geciktirmemelidir.</w:t>
      </w:r>
    </w:p>
    <w:p>
      <w:pPr>
        <w:pStyle w:val="BodyText"/>
      </w:pPr>
      <w:r>
        <w:t xml:space="preserve">V7 katman, dropout, learning-rate, devre derinliği veya kanal sayısı taraması şu anda önerilmez. Bir V7 seed'i yaklaşık 13--22 saat sürmekte, çoklu değişiklik quantum katkısını ayırt etmemekte ve daha iyi doğruluk elde edilse bile ResNet-18 ile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karşısındaki temel sonucu değiştirmemektedir.</w:t>
      </w:r>
    </w:p>
    <w:bookmarkEnd w:id="9"/>
    <w:bookmarkStart w:id="10" w:name="X1ea91fc851e7049ebcadd0dd84759d2cf5b7078"/>
    <w:p>
      <w:pPr>
        <w:pStyle w:val="Heading2"/>
        <w:keepNext/>
      </w:pPr>
      <w:r>
        <w:t xml:space="preserve">Hipotez Revizyonu Bilimsel Olarak Kabul Edilebilir mi?</w:t>
      </w:r>
    </w:p>
    <w:p>
      <w:pPr>
        <w:pStyle w:val="FirstParagraph"/>
      </w:pPr>
      <w:r>
        <w:t xml:space="preserve">Evet. Önerilen anlatı: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 keşif aşaması:</w:t>
      </w:r>
      <w:r>
        <w:t xml:space="preserve"> </w:t>
      </w:r>
      <w:r>
        <w:t xml:space="preserve">Tez, Osmanlıca el yazısı karakter tanımada CNN/HQNN karşılaştırma alanını ve ilk quantum hipotezini kurdu.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2025--2026 stres testi:</w:t>
      </w:r>
      <w:r>
        <w:t xml:space="preserve"> </w:t>
      </w:r>
      <w:r>
        <w:t xml:space="preserve">Daha güçlü klasik kontrol, parametre-eşlenmiş kontrol, multi-seed tekrarlar ve trainable V7 mühendislik hattı eklendi.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Hipotez değişimi:</w:t>
      </w:r>
      <w:r>
        <w:t xml:space="preserve"> </w:t>
      </w:r>
      <w:r>
        <w:t xml:space="preserve">Full-data sonuçları genel quantum üstünlüğünü desteklemedi; araştırma sorusu "hangi dar rejimde rekabetçi olabilir?" ve "trainable hibrit yol neden öğreniyor/çöküyor?" biçiminde daraldı.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Şeffaf statü:</w:t>
      </w:r>
      <w:r>
        <w:t xml:space="preserve"> </w:t>
      </w:r>
      <w:r>
        <w:t xml:space="preserve">Low-data analizi full-data hiyerarşisi görüldükten sonra motive edildiği için doğrulayıcı değil, hipotez üreticidir.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Sonuç:</w:t>
      </w:r>
      <w:r>
        <w:t xml:space="preserve"> </w:t>
      </w:r>
      <w:r>
        <w:t xml:space="preserve">Negatif/karma sonuç saklanmadan, daha güçlü bir bilimsel katkıya dönüştürülür.</w:t>
      </w:r>
    </w:p>
    <w:p>
      <w:pPr>
        <w:pStyle w:val="FirstParagraph"/>
      </w:pPr>
      <w:r>
        <w:t xml:space="preserve">Bu çerçeve HARKing riskini azaltır; çünkü hipotezin ne zaman ve hangi kanıtla değiştiği söylenir. Teze sıkı mimari sadakat artık bilimsel zorunluluk değildir. Tez, başlangıç noktası ve tarihsel karşılaştırma ailesidir; makale ise bağımsız ve daha katı bir yeniden değerlendirmedir.</w:t>
      </w:r>
    </w:p>
    <w:bookmarkEnd w:id="10"/>
    <w:bookmarkStart w:id="18" w:name="resqunn-sonrası-yenilik-konumu"/>
    <w:p>
      <w:pPr>
        <w:pStyle w:val="Heading2"/>
        <w:keepNext/>
      </w:pPr>
      <w:r>
        <w:t xml:space="preserve">ResQuNN Sonrası Yenilik Konumu</w:t>
      </w:r>
    </w:p>
    <w:p>
      <w:pPr>
        <w:pStyle w:val="FirstParagraph"/>
      </w:pPr>
      <w:r>
        <w:t xml:space="preserve">ResQuNN, residual learning ile quanvolution birleşimini 2025'te yayımladığı için yalnızca "residual quantum CNN yaptık" cümlesi güncel bir yenilik iddiası değildir (</w:t>
      </w:r>
      <w:hyperlink r:id="rId11">
        <w:r>
          <w:rPr>
            <w:rStyle w:val="Hyperlink"/>
          </w:rPr>
          <w:t xml:space="preserve">DOI</w:t>
        </w:r>
      </w:hyperlink>
      <w:r>
        <w:t xml:space="preserve">). Bu fırsat kaybı makaleyi değersizleştirmez; yenilik iddiası şu dört noktaya taşınmalıdır:</w:t>
      </w:r>
    </w:p>
    <w:p>
      <w:pPr>
        <w:pStyle w:val="Compact"/>
        <w:numPr>
          <w:ilvl w:val="0"/>
          <w:numId w:val="1002"/>
        </w:numPr>
      </w:pPr>
      <w:r>
        <w:t xml:space="preserve">44 sınıflı Osmanlı-Türkçe el yazısı OCR için family-separated, artifact-backed QML benchmark;</w:t>
      </w:r>
    </w:p>
    <w:p>
      <w:pPr>
        <w:pStyle w:val="Compact"/>
        <w:numPr>
          <w:ilvl w:val="0"/>
          <w:numId w:val="1002"/>
        </w:numPr>
      </w:pPr>
      <w:r>
        <w:t xml:space="preserve">tez hipotezinin güçlü klasik kontrollerle açıkça revize edilmesi;</w:t>
      </w:r>
    </w:p>
    <w:p>
      <w:pPr>
        <w:pStyle w:val="Compact"/>
        <w:numPr>
          <w:ilvl w:val="0"/>
          <w:numId w:val="1002"/>
        </w:numPr>
      </w:pPr>
      <w:r>
        <w:t xml:space="preserve">accuracy yanında macro-F1, balanced accuracy ve nadir sınıf hata analizi;</w:t>
      </w:r>
    </w:p>
    <w:p>
      <w:pPr>
        <w:pStyle w:val="Compact"/>
        <w:numPr>
          <w:ilvl w:val="0"/>
          <w:numId w:val="1002"/>
        </w:numPr>
      </w:pPr>
      <w:r>
        <w:t xml:space="preserve">V1--V7 başarısızlıklarının, AMP sınırının ve provenance açıklarının dürüst mühendislik analizi.</w:t>
      </w:r>
    </w:p>
    <w:p>
      <w:pPr>
        <w:pStyle w:val="FirstParagraph"/>
      </w:pPr>
      <w:r>
        <w:t xml:space="preserve">Literatür, klasik kontrollerin kapasitesi ve veri erişiminin QML iddialarını belirlediğini açıkça göstermektedir (</w:t>
      </w:r>
      <w:hyperlink r:id="rId12">
        <w:r>
          <w:rPr>
            <w:rStyle w:val="Hyperlink"/>
          </w:rPr>
          <w:t xml:space="preserve">Huang et al.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Ceschini et al.</w:t>
        </w:r>
      </w:hyperlink>
      <w:r>
        <w:t xml:space="preserve">). Data re-uploading düşük qubit sayısında ifade gücünü artırabilir (</w:t>
      </w:r>
      <w:hyperlink r:id="rId14">
        <w:r>
          <w:rPr>
            <w:rStyle w:val="Hyperlink"/>
          </w:rPr>
          <w:t xml:space="preserve">Pérez-Salinas et al.</w:t>
        </w:r>
      </w:hyperlink>
      <w:r>
        <w:t xml:space="preserve">), fakat devre derinliği gradient ve gürültü riskini büyütür (</w:t>
      </w:r>
      <w:hyperlink r:id="rId15">
        <w:r>
          <w:rPr>
            <w:rStyle w:val="Hyperlink"/>
          </w:rPr>
          <w:t xml:space="preserve">McClean et al.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Cerezo et al.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Ahmed et al.</w:t>
        </w:r>
      </w:hyperlink>
      <w:r>
        <w:t xml:space="preserve">). Bu nedenle sırf yeni görünmek için derin QCNN, quantum attention veya NAS eklemek hızlı ve güvenli yol değildir.</w:t>
      </w:r>
    </w:p>
    <w:bookmarkEnd w:id="18"/>
    <w:bookmarkStart w:id="22" w:name="güncellenmiş-aday-karar-matrisi"/>
    <w:p>
      <w:pPr>
        <w:pStyle w:val="Heading2"/>
        <w:keepNext/>
      </w:pPr>
      <w:r>
        <w:t xml:space="preserve">Güncellenmiş Aday Karar Matrisi</w:t>
      </w:r>
    </w:p>
    <w:p>
      <w:pPr>
        <w:pStyle w:val="FirstParagraph"/>
      </w:pPr>
      <w:r>
        <w:t xml:space="preserve">Puanlar 1 (zayıf/pahalı) ile 5 (güçlü/ucuz) arasındadır. Maliyet sütununda yüksek puan daha düşük maliyeti ifade eder.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488"/>
        <w:gridCol w:w="943"/>
        <w:gridCol w:w="943"/>
        <w:gridCol w:w="944"/>
        <w:gridCol w:w="948"/>
        <w:gridCol w:w="943"/>
        <w:gridCol w:w="952"/>
        <w:gridCol w:w="943"/>
        <w:gridCol w:w="1256"/>
      </w:tblGrid>
      <w:tr>
        <w:trPr>
          <w:tblHeader w:val="on"/>
          <w:cantSplit/>
          <w:tblHeader w:val="true"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Aday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Bilimsel gerekçe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Çalışmaya uyum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Adil karşılaştırma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Gradient/devre riski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Maliyet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Beklenen bilgi kazancı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Yayın katkısı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Karar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Mevcut kanıtla hipotez-revizyon makalesi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bCs/>
                <w:color w:val="0B2545"/>
                <w:sz w:val="18"/>
              </w:rPr>
              <w:t xml:space="preserve">Ana yol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Low-data</w:t>
            </w:r>
            <w:r>
              <w:rPr>
                <w:rFonts w:ascii="Arial" w:hAnsi="Arial" w:eastAsia="Arial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0B2545"/>
                <w:sz w:val="18"/>
              </w:rPr>
              <w:t xml:space="preserve">param_linear</w:t>
            </w:r>
            <w:r>
              <w:rPr>
                <w:rFonts w:ascii="Arial" w:hAnsi="Arial" w:eastAsia="Arial"/>
                <w:color w:val="0B2545"/>
                <w:sz w:val="18"/>
              </w:rPr>
              <w:t xml:space="preserve">, 4 fraction × 6 seed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bCs/>
                <w:color w:val="0B2545"/>
                <w:sz w:val="18"/>
              </w:rPr>
              <w:t xml:space="preserve">İsteğe bağlı tek ek kontrol; danışman paketini geciktirme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V7 learning-rate/dropout/head/pooling taraması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No-go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V7 devre derinliği / data re-upload sayısı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No-go; reviewer isterse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V7-Lite 4→1 kanal bottleneck + matched linear control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3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Yalnız venue trainable yenilik isterse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QCNN / quantum attention / CQNAS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Bu makale için no-go</w:t>
            </w:r>
          </w:p>
        </w:tc>
      </w:tr>
      <w:tr>
        <w:trPr>
          <w:cantSplit/>
        </w:trPr>
        <w:tc>
          <w:tcPr>
            <w:tcW w:w="148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Tarihî belge bozulmalarına zero-shot dayanıklılık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</w:t>
            </w:r>
          </w:p>
        </w:tc>
        <w:tc>
          <w:tcPr>
            <w:tcW w:w="95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94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5</w:t>
            </w:r>
          </w:p>
        </w:tc>
        <w:tc>
          <w:tcPr>
            <w:tcW w:w="1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4--6 haftalık güçlü genişletme</w:t>
            </w:r>
          </w:p>
        </w:tc>
      </w:tr>
    </w:tbl>
    <w:p>
      <w:pPr>
        <w:pStyle w:val="BodyText"/>
        <w:spacing w:before="160"/>
      </w:pPr>
      <w:r>
        <w:t xml:space="preserve">QCNN ve quantum attention güncel ve aktif alanlardır (</w:t>
      </w:r>
      <w:hyperlink r:id="rId19">
        <w:r>
          <w:rPr>
            <w:rStyle w:val="Hyperlink"/>
          </w:rPr>
          <w:t xml:space="preserve">QCNN survey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quantum attention</w:t>
        </w:r>
      </w:hyperlink>
      <w:r>
        <w:t xml:space="preserve">); quantum-classical architecture search de 2026'da yayımlanmıştır (</w:t>
      </w:r>
      <w:hyperlink r:id="rId21">
        <w:r>
          <w:rPr>
            <w:rStyle w:val="Hyperlink"/>
          </w:rPr>
          <w:t xml:space="preserve">CQNAS</w:t>
        </w:r>
      </w:hyperlink>
      <w:r>
        <w:t xml:space="preserve">). Ancak bunları bu veri setine eklemek bağımsız bir araştırma projesi, matched controls ve ciddi hesaplama ister. Hız hedefiyle uyumlu değildir.</w:t>
      </w:r>
    </w:p>
    <w:bookmarkEnd w:id="22"/>
    <w:bookmarkStart w:id="23" w:name="X6182f9aa70f20499ff3cd4d445ab9267e7bc5d1"/>
    <w:p>
      <w:pPr>
        <w:pStyle w:val="Heading2"/>
        <w:keepNext/>
      </w:pPr>
      <w:r>
        <w:t xml:space="preserve">Var Olan V7 Yapısını Değiştirmek Fayda Sağlar mı?</w:t>
      </w:r>
    </w:p>
    <w:p>
      <w:pPr>
        <w:pStyle w:val="FirstParagraph"/>
      </w:pPr>
      <w:r>
        <w:t xml:space="preserve">Mutlak validation/test doğruluğunu artırabilir; fakat yayın katkısını artıracağı garanti değildir.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397"/>
        <w:gridCol w:w="2408"/>
        <w:gridCol w:w="2631"/>
        <w:gridCol w:w="1924"/>
      </w:tblGrid>
      <w:tr>
        <w:trPr>
          <w:tblHeader w:val="on"/>
          <w:cantSplit/>
          <w:tblHeader w:val="true"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Değişiklik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Olası fayda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Bilimsel sorun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Karar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Classifier dropout 0.5/0.3 ve head genişliği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Over/underfitting dengesi iyileşebilir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Kazanç quantum bloğa atfedilemez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Şimdi tarama yapma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Adaptive pooling 2×2→1×1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Parametre/maliyet düşer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Bilgi kaybı ve farklı head bütçesi confound yaratır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Yalnız matched control ile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Quantum/classical LR oranı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V7 varyansını azaltabilir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Çoklu seed olmadan cherry-picking riski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Reviewer talebine bırak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Output gain α / skip β başlangıcı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Quantum/skip yol dengesini değiştirir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Component ablation gerekir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Tek başına sonuç olarak sunma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Devre derinliği / re-upload sayısı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İfade gücü artabilir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Barren-plateau, runtime ve gürültü riski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No-go</w:t>
            </w:r>
          </w:p>
        </w:tc>
      </w:tr>
      <w:tr>
        <w:trPr>
          <w:cantSplit/>
        </w:trPr>
        <w:tc>
          <w:tcPr>
            <w:tcW w:w="23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4 quantum giriş kanalı→1 kanal bottleneck</w:t>
            </w:r>
          </w:p>
        </w:tc>
        <w:tc>
          <w:tcPr>
            <w:tcW w:w="24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64→16 circuit instance; yaklaşık 4× quantum iş yükü azalması</w:t>
            </w:r>
          </w:p>
        </w:tc>
        <w:tc>
          <w:tcPr>
            <w:tcW w:w="263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Yeni bottleneck ve classical adapter kontrolü gerekir</w:t>
            </w:r>
          </w:p>
        </w:tc>
        <w:tc>
          <w:tcPr>
            <w:tcW w:w="19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V7-Lite yedek adayı</w:t>
            </w:r>
          </w:p>
        </w:tc>
      </w:tr>
    </w:tbl>
    <w:p>
      <w:pPr>
        <w:pStyle w:val="BodyText"/>
        <w:spacing w:before="160"/>
      </w:pPr>
      <w:r>
        <w:t xml:space="preserve">Mevcut kodda</w:t>
      </w:r>
      <w:r>
        <w:t xml:space="preserve"> </w:t>
      </w:r>
      <w:r>
        <w:rPr>
          <w:rStyle w:val="VerbatimChar"/>
        </w:rPr>
        <w:t xml:space="preserve">n_layers</w:t>
      </w:r>
      <w:r>
        <w:t xml:space="preserve"> </w:t>
      </w:r>
      <w:r>
        <w:t xml:space="preserve">arayüzü ile qnode içindeki katman sayısı tam parametrik değildir; dolayısıyla basit CLI sweep bilimsel olarak güvenilir bir devre-derinliği deneyi sayılmaz. Ayrıca output</w:t>
      </w:r>
      <w:r>
        <w:t xml:space="preserve"> </w:t>
      </w:r>
      <w:r>
        <w:rPr>
          <w:rStyle w:val="VerbatimChar"/>
        </w:rPr>
        <w:t xml:space="preserve">gradient_scale</w:t>
      </w:r>
      <w:r>
        <w:t xml:space="preserve">, saf bir gradient operatörü değil öğrenilebilir çıktı kazancıdır. Bu iki nokta düzeltilmeden elde edilen hiperparametre sonuçları kolayca yanlış yorumlanabilir.</w:t>
      </w:r>
    </w:p>
    <w:bookmarkEnd w:id="23"/>
    <w:bookmarkStart w:id="24" w:name="tek-düşük-maliyetli-ek-kontrol"/>
    <w:p>
      <w:pPr>
        <w:pStyle w:val="Heading2"/>
        <w:keepNext/>
      </w:pPr>
      <w:r>
        <w:t xml:space="preserve">Tek Düşük Maliyetli Ek Kontrol</w:t>
      </w:r>
    </w:p>
    <w:p>
      <w:pPr>
        <w:pStyle w:val="FirstParagraph"/>
      </w:pPr>
      <w:r>
        <w:rPr>
          <w:b/>
          <w:bCs/>
        </w:rPr>
        <w:t xml:space="preserve">Deney: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0.10/0.25/0.50/1.00</w:t>
      </w:r>
      <w:r>
        <w:t xml:space="preserve"> </w:t>
      </w:r>
      <w:r>
        <w:t xml:space="preserve">fraction, seed</w:t>
      </w:r>
      <w:r>
        <w:t xml:space="preserve"> </w:t>
      </w:r>
      <w:r>
        <w:rPr>
          <w:rStyle w:val="VerbatimChar"/>
        </w:rPr>
        <w:t xml:space="preserve">42--47</w:t>
      </w:r>
      <w:r>
        <w:t xml:space="preserve">, split seed</w:t>
      </w:r>
      <w:r>
        <w:t xml:space="preserve"> </w:t>
      </w:r>
      <w:r>
        <w:rPr>
          <w:rStyle w:val="VerbatimChar"/>
        </w:rPr>
        <w:t xml:space="preserve">42</w:t>
      </w:r>
      <w:r>
        <w:t xml:space="preserve">, fraction seed</w:t>
      </w:r>
      <w:r>
        <w:t xml:space="preserve"> </w:t>
      </w:r>
      <w:r>
        <w:rPr>
          <w:rStyle w:val="VerbatimChar"/>
        </w:rPr>
        <w:t xml:space="preserve">42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Toplam: 24 kısa klasik koşu.</w:t>
      </w:r>
    </w:p>
    <w:p>
      <w:pPr>
        <w:pStyle w:val="Compact"/>
        <w:numPr>
          <w:ilvl w:val="0"/>
          <w:numId w:val="1003"/>
        </w:numPr>
      </w:pPr>
      <w:r>
        <w:t xml:space="preserve">Amaç: fixed quantum'ın low-data ortalama sinyalinin yalnız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seçimine bağlı olup olmadığını sınamak.</w:t>
      </w:r>
    </w:p>
    <w:p>
      <w:pPr>
        <w:pStyle w:val="Compact"/>
        <w:numPr>
          <w:ilvl w:val="0"/>
          <w:numId w:val="1003"/>
        </w:numPr>
      </w:pPr>
      <w:r>
        <w:t xml:space="preserve">Birincil metrik: paired test accuracy farkı; ikincil macro-F1 ancak tüm checkpointler korunursa.</w:t>
      </w:r>
    </w:p>
    <w:p>
      <w:pPr>
        <w:pStyle w:val="Compact"/>
        <w:numPr>
          <w:ilvl w:val="0"/>
          <w:numId w:val="1003"/>
        </w:numPr>
      </w:pPr>
      <w:r>
        <w:t xml:space="preserve">Başarı ölçütü: quantum, hem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karşısında aynı yönde ve en az iki düşük-data fractionında anlamlı/istikrarlı etki göstermeli.</w:t>
      </w:r>
    </w:p>
    <w:p>
      <w:pPr>
        <w:pStyle w:val="Compact"/>
        <w:numPr>
          <w:ilvl w:val="0"/>
          <w:numId w:val="1003"/>
        </w:numPr>
      </w:pPr>
      <w:r>
        <w:t xml:space="preserve">No-go: ilk iki fraction tamamlandığında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quantum'a eşit/üstünse veya farklar seed yönünde tutarsızsa kalan grid yayın için zorunlu değildir.</w:t>
      </w:r>
    </w:p>
    <w:p>
      <w:pPr>
        <w:pStyle w:val="Compact"/>
        <w:numPr>
          <w:ilvl w:val="0"/>
          <w:numId w:val="1003"/>
        </w:numPr>
      </w:pPr>
      <w:r>
        <w:t xml:space="preserve">İddia sınırı: olumlu sonuç bile "quantum advantage" değil, bu veri/protokole özgü düşük-veri rekabetçiliğidir.</w:t>
      </w:r>
    </w:p>
    <w:bookmarkEnd w:id="24"/>
    <w:bookmarkStart w:id="25" w:name="trainable-yenilik-zorunlu-olursa-v7-lite"/>
    <w:p>
      <w:pPr>
        <w:pStyle w:val="Heading2"/>
        <w:keepNext/>
      </w:pPr>
      <w:r>
        <w:t xml:space="preserve">Trainable Yenilik Zorunlu Olursa: V7-Lite</w:t>
      </w:r>
    </w:p>
    <w:p>
      <w:pPr>
        <w:pStyle w:val="FirstParagraph"/>
      </w:pPr>
      <w:r>
        <w:t xml:space="preserve">Yalnız hedef venue trainable-quantum yeniliği şart koşarsa tek ana mimari adayı:</w:t>
      </w:r>
    </w:p>
    <w:p>
      <w:pPr>
        <w:pStyle w:val="BodyText"/>
      </w:pPr>
      <w:r>
        <w:rPr>
          <w:rStyle w:val="VerbatimChar"/>
        </w:rPr>
        <w:t xml:space="preserve">8×8×4 -&gt; learned 1×1 Conv (4→1) -&gt; 4-qubit PQC (16 instance/image) -&gt; learned expansion -&gt; classical SE/residual head</w:t>
      </w:r>
    </w:p>
    <w:p>
      <w:pPr>
        <w:pStyle w:val="BodyText"/>
      </w:pPr>
      <w:r>
        <w:t xml:space="preserve">Zorunlu kontrol: PQC yerine aynı giriş/çıkış boyutlu, parametre-eşlenmiş linear/trigonometric classical map. En az üç seed gerekir; ideal olarak seed 42--47. İlk gate seed 42, üç epoch:</w:t>
      </w:r>
    </w:p>
    <w:p>
      <w:pPr>
        <w:pStyle w:val="Compact"/>
        <w:numPr>
          <w:ilvl w:val="0"/>
          <w:numId w:val="1004"/>
        </w:numPr>
      </w:pPr>
      <w:r>
        <w:t xml:space="preserve">non-finite değer varsa durdur;</w:t>
      </w:r>
    </w:p>
    <w:p>
      <w:pPr>
        <w:pStyle w:val="Compact"/>
        <w:numPr>
          <w:ilvl w:val="0"/>
          <w:numId w:val="1004"/>
        </w:numPr>
      </w:pPr>
      <w:r>
        <w:t xml:space="preserve">validation &lt;%35 ise durdur;</w:t>
      </w:r>
    </w:p>
    <w:p>
      <w:pPr>
        <w:pStyle w:val="Compact"/>
        <w:numPr>
          <w:ilvl w:val="0"/>
          <w:numId w:val="1004"/>
        </w:numPr>
      </w:pPr>
      <w:r>
        <w:t xml:space="preserve">median quantum gradient</w:t>
      </w:r>
      <w:r>
        <w:t xml:space="preserve"> </w:t>
      </w:r>
      <w:r>
        <w:rPr>
          <w:rStyle w:val="VerbatimChar"/>
        </w:rPr>
        <w:t xml:space="preserve">&lt;1e-5</w:t>
      </w:r>
      <w:r>
        <w:t xml:space="preserve"> </w:t>
      </w:r>
      <w:r>
        <w:t xml:space="preserve">ise durdur;</w:t>
      </w:r>
    </w:p>
    <w:p>
      <w:pPr>
        <w:pStyle w:val="Compact"/>
        <w:numPr>
          <w:ilvl w:val="0"/>
          <w:numId w:val="1004"/>
        </w:numPr>
      </w:pPr>
      <w:r>
        <w:t xml:space="preserve">eski V7'ye göre en az 3× hızlanmıyorsa durdur;</w:t>
      </w:r>
    </w:p>
    <w:p>
      <w:pPr>
        <w:pStyle w:val="Compact"/>
        <w:numPr>
          <w:ilvl w:val="0"/>
          <w:numId w:val="1004"/>
        </w:numPr>
      </w:pPr>
      <w:r>
        <w:t xml:space="preserve">seed-42 test/validation eski temiz V7'nin 2 puan içinde değilse çoklu seed'e geçme.</w:t>
      </w:r>
    </w:p>
    <w:p>
      <w:pPr>
        <w:pStyle w:val="FirstParagraph"/>
      </w:pPr>
      <w:r>
        <w:t xml:space="preserve">Bu aday mevcut hızlı gönderim yoluna dahil değildir.</w:t>
      </w:r>
    </w:p>
    <w:bookmarkEnd w:id="25"/>
    <w:bookmarkStart w:id="26" w:name="Xeba53bd38d5bf102334440f53bc0eda9c24a8fe"/>
    <w:p>
      <w:pPr>
        <w:pStyle w:val="Heading2"/>
        <w:keepNext/>
      </w:pPr>
      <w:r>
        <w:t xml:space="preserve">Alana Yeni Soluk Getirebilecek En Uygun Fikir</w:t>
      </w:r>
    </w:p>
    <w:p>
      <w:pPr>
        <w:pStyle w:val="FirstParagraph"/>
      </w:pPr>
      <w:r>
        <w:t xml:space="preserve">En uyumlu yeni eksen,</w:t>
      </w:r>
      <w:r>
        <w:t xml:space="preserve"> </w:t>
      </w:r>
      <w:r>
        <w:rPr>
          <w:b/>
          <w:bCs/>
        </w:rPr>
        <w:t xml:space="preserve">tarihî belge bozulması altında veri kıtlığı × dayanıklılık</w:t>
      </w:r>
      <w:r>
        <w:t xml:space="preserve"> </w:t>
      </w:r>
      <w:r>
        <w:t xml:space="preserve">etkileşimidir: blur, erosion/dilation, ink bleed, kâğıt arka planı, düşük kontrast ve tarama gürültüsü. Önce mevcut checkpointler zero-shot değerlendirilir; böylece eğitim maliyeti olmadan hangi temsilin tarihî bozulmalara daha dayanıklı olduğu ölçülür. Ardından yalnız sinyal varsa kontrollü fine-tuning düşünülür.</w:t>
      </w:r>
    </w:p>
    <w:p>
      <w:pPr>
        <w:pStyle w:val="BodyText"/>
      </w:pPr>
      <w:r>
        <w:t xml:space="preserve">Bu fikir Osmanlı OCR ile doğal olarak ilişkilidir ve ikinci veri seti olmadan dış-geçerlilik eksenini güçlendirebilir. Ancak "ilk çalışma" iddiası hedefli literatür taraması yapılmadan kullanılmamalıdır. Hızlı gönderimde gelecek çalışma olarak, 4--6 haftalık daha güçlü rotada ana ek deney olarak konumlandırılmalıdır.</w:t>
      </w:r>
    </w:p>
    <w:bookmarkEnd w:id="26"/>
    <w:bookmarkStart w:id="27" w:name="yayın-stratejisi"/>
    <w:p>
      <w:pPr>
        <w:pStyle w:val="Heading2"/>
        <w:keepNext/>
      </w:pPr>
      <w:r>
        <w:t xml:space="preserve">Yayın Stratejisi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Hızlı dergi rotası:</w:t>
      </w:r>
      <w:r>
        <w:t xml:space="preserve"> </w:t>
      </w:r>
      <w:r>
        <w:rPr>
          <w:i/>
          <w:iCs/>
        </w:rPr>
        <w:t xml:space="preserve">Quantum Machine Intelligence</w:t>
      </w:r>
      <w:r>
        <w:t xml:space="preserve">, Research Article. Derginin resmî kapsamı quantum machine learning, quantum neural networks, quantum image/signal processing ve uygulama odaklı hibrit quantum--classical çalışmaları açıkça içerir. Research Article için keyfî uzunluk, DOCX/LaTeX kaynak dosyası, 150--250 kelimelik özet ve yazar--yıl kaynak biçimi kabul edilir. Dergi hibrittir ve publication/page charge “None” belirtir; isteğe bağlı açık erişim maliyeti ayrıca doğrulanmalıdır.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Hakemli bildiri rotası:</w:t>
      </w:r>
      <w:r>
        <w:t xml:space="preserve"> </w:t>
      </w:r>
      <w:r>
        <w:rPr>
          <w:i/>
          <w:iCs/>
        </w:rPr>
        <w:t xml:space="preserve">ICPRAM 2027</w:t>
      </w:r>
      <w:r>
        <w:t xml:space="preserve"> </w:t>
      </w:r>
      <w:r>
        <w:t xml:space="preserve">Regular Paper. Pattern recognition, document analysis ve image understanding kapsamı uygundur; son tarih 15 Eylül 2026'dır. Mevcut taslak 10.000--50.000 karaktere ve kabul sonrası 12 sayfalık full/8 sayfalık short formata sıkıştırılmalı, double-blind hazırlanmalı ve en az bir yazar Malta'da sunum yapmalıdır. Erken non-member speaker kaydı 620 €'dur; seyahat ayrıca gerekir.</w:t>
      </w:r>
    </w:p>
    <w:p>
      <w:pPr>
        <w:pStyle w:val="Compact"/>
        <w:numPr>
          <w:ilvl w:val="0"/>
          <w:numId w:val="1005"/>
        </w:numPr>
      </w:pPr>
      <w:r>
        <w:t xml:space="preserve">Geniş kapsamlı dergi alternatifleri ancak maliyet, veri politikası ve editör uyumu güncel resmî sayfalardan doğrulandıktan sonra seçilmelidir.</w:t>
      </w:r>
    </w:p>
    <w:p>
      <w:pPr>
        <w:pStyle w:val="Compact"/>
        <w:numPr>
          <w:ilvl w:val="0"/>
          <w:numId w:val="1005"/>
        </w:numPr>
      </w:pPr>
      <w:r>
        <w:t xml:space="preserve">Aynı tam makale eşzamanlı olarak bir dergiye ve arşivsel bildiriye gönderilmemelidir.</w:t>
      </w:r>
    </w:p>
    <w:p>
      <w:pPr>
        <w:pStyle w:val="Compact"/>
        <w:numPr>
          <w:ilvl w:val="0"/>
          <w:numId w:val="1005"/>
        </w:numPr>
      </w:pPr>
      <w:r>
        <w:t xml:space="preserve">Hedef venue izin veriyorsa preprint + tek arşivsel submission yapılabilir.</w:t>
      </w:r>
    </w:p>
    <w:p>
      <w:pPr>
        <w:pStyle w:val="Compact"/>
        <w:numPr>
          <w:ilvl w:val="0"/>
          <w:numId w:val="1005"/>
        </w:numPr>
      </w:pPr>
      <w:r>
        <w:t xml:space="preserve">Farklı ve açıkça kısa/non-archival bir workshop özeti düşünülebilir; içerik ve çift-yayın politikası venue bazında doğrulanmalıdır.</w:t>
      </w:r>
    </w:p>
    <w:p>
      <w:pPr>
        <w:pStyle w:val="Compact"/>
        <w:numPr>
          <w:ilvl w:val="0"/>
          <w:numId w:val="1005"/>
        </w:numPr>
      </w:pPr>
      <w:r>
        <w:t xml:space="preserve">En hızlı savunulabilir rota: özel alan QML / applied ML / digital humanities-OCR dergisi veya konferansı.</w:t>
      </w:r>
    </w:p>
    <w:p>
      <w:pPr>
        <w:pStyle w:val="Compact"/>
        <w:numPr>
          <w:ilvl w:val="0"/>
          <w:numId w:val="1005"/>
        </w:numPr>
      </w:pPr>
      <w:r>
        <w:t xml:space="preserve">Geniş kapsamlı güçlü venue rotası: robustness ekseni veya ikinci veri seti ve daha güçlü istatistik gerektirir.</w:t>
      </w:r>
    </w:p>
    <w:bookmarkEnd w:id="27"/>
    <w:bookmarkStart w:id="28" w:name="i̇ki-haftalık-hızlı-yol-haritası"/>
    <w:p>
      <w:pPr>
        <w:pStyle w:val="Heading2"/>
        <w:keepNext/>
      </w:pPr>
      <w:r>
        <w:t xml:space="preserve">İki Haftalık Hızlı Yol Haritası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642"/>
        <w:gridCol w:w="3798"/>
        <w:gridCol w:w="3920"/>
      </w:tblGrid>
      <w:tr>
        <w:trPr>
          <w:tblHeader w:val="on"/>
          <w:cantSplit/>
          <w:tblHeader w:val="true"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Gün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Çıktı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 xml:space="preserve">Stop/başarı ölçütü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0--1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İlk-yazar metadata/COI formu ve QMI/ICPRAM kararı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Drive ve dataset blocker'ları kapalıdır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0--5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Danışman ve ortak yazar bilimsel incelemesi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Claim dili: advantage yok, low-data exploratory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1--3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Venue template'ine paralel manuscript aktarımı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Tüm tablo/şekil/sayfa sınırı uyumlu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2--3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İsteğe bağlı</w:t>
            </w:r>
            <w:r>
              <w:rPr>
                <w:rFonts w:ascii="Arial" w:hAnsi="Arial" w:eastAsia="Arial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0B2545"/>
                <w:sz w:val="18"/>
              </w:rPr>
              <w:t xml:space="preserve">param_linear</w:t>
            </w:r>
            <w:r>
              <w:rPr>
                <w:rFonts w:ascii="Arial" w:hAnsi="Arial" w:eastAsia="Arial"/>
                <w:color w:val="0B2545"/>
                <w:sz w:val="18"/>
              </w:rPr>
              <w:t xml:space="preserve"> </w:t>
            </w:r>
            <w:r>
              <w:rPr>
                <w:rFonts w:ascii="Arial" w:hAnsi="Arial" w:eastAsia="Arial"/>
                <w:color w:val="0B2545"/>
                <w:sz w:val="18"/>
              </w:rPr>
              <w:t xml:space="preserve">low-data kararı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Danışman paketini geciktirme; en fazla bir gün, açık uçlu tuning yok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7--9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Dil, kaynakça, declarations, data/code availability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Placeholder kalmamalı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9--10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Versioned release ve SHA manifest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Gönderilecek PDF ile artifact paketi aynı sürüm</w:t>
            </w:r>
          </w:p>
        </w:tc>
      </w:tr>
      <w:tr>
        <w:trPr>
          <w:cantSplit/>
        </w:trPr>
        <w:tc>
          <w:tcPr>
            <w:tcW w:w="16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10--14</w:t>
            </w:r>
          </w:p>
        </w:tc>
        <w:tc>
          <w:tcPr>
            <w:tcW w:w="379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Final tüm-yazar onayı ve submission</w:t>
            </w:r>
          </w:p>
        </w:tc>
        <w:tc>
          <w:tcPr>
            <w:tcW w:w="39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0B2545"/>
                <w:sz w:val="18"/>
              </w:rPr>
              <w:t xml:space="preserve">Tek arşivsel venue; politikalar doğrulanmış</w:t>
            </w:r>
          </w:p>
        </w:tc>
      </w:tr>
    </w:tbl>
    <w:bookmarkEnd w:id="28"/>
    <w:bookmarkStart w:id="29" w:name="X3a7124d96cf7348259fc64c5d04f6a881818e45"/>
    <w:p>
      <w:pPr>
        <w:pStyle w:val="Heading2"/>
        <w:keepNext/>
        <w:spacing w:before="160"/>
      </w:pPr>
      <w:r>
        <w:t xml:space="preserve">Dört--Altı Haftalık Güçlendirilmiş Yol Haritası</w:t>
      </w:r>
    </w:p>
    <w:p>
      <w:pPr>
        <w:pStyle w:val="FirstParagraph"/>
      </w:pPr>
      <w:r>
        <w:t xml:space="preserve">Bu rota yalnız hedef venue daha güçlü dış-geçerlilik isterse seçilmelidir:</w:t>
      </w:r>
    </w:p>
    <w:p>
      <w:pPr>
        <w:pStyle w:val="Compact"/>
        <w:numPr>
          <w:ilvl w:val="0"/>
          <w:numId w:val="1006"/>
        </w:numPr>
      </w:pPr>
      <w:r>
        <w:t xml:space="preserve">Hafta 1: Tarihî bozulma protokolü ve severity seviyeleri; test-only, deterministic corruption seti.</w:t>
      </w:r>
    </w:p>
    <w:p>
      <w:pPr>
        <w:pStyle w:val="Compact"/>
        <w:numPr>
          <w:ilvl w:val="0"/>
          <w:numId w:val="1006"/>
        </w:numPr>
      </w:pPr>
      <w:r>
        <w:t xml:space="preserve">Hafta 2: Mevcut checkpointlerle zero-shot robustness; classical, fixed-quantum ve ResNet kontrolleri.</w:t>
      </w:r>
    </w:p>
    <w:p>
      <w:pPr>
        <w:pStyle w:val="Compact"/>
        <w:numPr>
          <w:ilvl w:val="0"/>
          <w:numId w:val="1006"/>
        </w:numPr>
      </w:pPr>
      <w:r>
        <w:t xml:space="preserve">Hafta 3: Paired degradation istatistiği, macro-F1 ve per-class morphology analizi.</w:t>
      </w:r>
    </w:p>
    <w:p>
      <w:pPr>
        <w:pStyle w:val="Compact"/>
        <w:numPr>
          <w:ilvl w:val="0"/>
          <w:numId w:val="1006"/>
        </w:numPr>
      </w:pPr>
      <w:r>
        <w:t xml:space="preserve">Hafta 4: Sinyal varsa tek kontrollü fine-tuning/augmentation ablation; yoksa negatif robustness sonucu.</w:t>
      </w:r>
    </w:p>
    <w:p>
      <w:pPr>
        <w:pStyle w:val="Compact"/>
        <w:numPr>
          <w:ilvl w:val="0"/>
          <w:numId w:val="1006"/>
        </w:numPr>
      </w:pPr>
      <w:r>
        <w:t xml:space="preserve">Hafta 5: İkinci dataset ancak hukuken ve teknik olarak erişilebiliyorsa external validation.</w:t>
      </w:r>
    </w:p>
    <w:p>
      <w:pPr>
        <w:pStyle w:val="Compact"/>
        <w:numPr>
          <w:ilvl w:val="0"/>
          <w:numId w:val="1006"/>
        </w:numPr>
      </w:pPr>
      <w:r>
        <w:t xml:space="preserve">Hafta 6: Makale yeniden konumlandırma, ek reviewer audit ve venue submission.</w:t>
      </w:r>
    </w:p>
    <w:p>
      <w:pPr>
        <w:pStyle w:val="FirstParagraph"/>
      </w:pPr>
      <w:r>
        <w:t xml:space="preserve">Bu rotada da V7 hyperparameter sweep varsayılan değildir. Robustness ekseni mevcut checkpointleri kullanarak daha yüksek bilgi kazancı sağlar.</w:t>
      </w:r>
    </w:p>
    <w:bookmarkEnd w:id="29"/>
    <w:bookmarkStart w:id="30" w:name="kesin-karar"/>
    <w:p>
      <w:pPr>
        <w:pStyle w:val="Heading2"/>
        <w:keepNext/>
      </w:pPr>
      <w:r>
        <w:t xml:space="preserve">Kesin Karar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Yeni model eğitilsin mi?</w:t>
      </w:r>
      <w:r>
        <w:t xml:space="preserve"> </w:t>
      </w:r>
      <w:r>
        <w:t xml:space="preserve">Hayır. Ana submission için yeni quantum model eğitilmemeli.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İsteğe bağlı tek ek deney nedir?</w:t>
      </w:r>
      <w:r>
        <w:t xml:space="preserve"> </w:t>
      </w:r>
      <w:r>
        <w:t xml:space="preserve">Mevcut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low-data matched control; bir günlük sert süre sınırıyla.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V7 hiperparametre taraması yapılsın mı?</w:t>
      </w:r>
      <w:r>
        <w:t xml:space="preserve"> </w:t>
      </w:r>
      <w:r>
        <w:t xml:space="preserve">Hayır. Bilgi kazancı/süre oranı düşük ve quantum katkısını izole etmiyor.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Novel architecture ne zaman?</w:t>
      </w:r>
      <w:r>
        <w:t xml:space="preserve"> </w:t>
      </w:r>
      <w:r>
        <w:t xml:space="preserve">Yalnız reviewer/venue trainable yenilik isterse V7-Lite; mevcut makaleyi geciktirmemeli.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Venue kararı nedir?</w:t>
      </w:r>
      <w:r>
        <w:t xml:space="preserve"> </w:t>
      </w:r>
      <w:r>
        <w:t xml:space="preserve">Maliyet/seyahat istemiyorsanız</w:t>
      </w:r>
      <w:r>
        <w:t xml:space="preserve"> </w:t>
      </w:r>
      <w:r>
        <w:rPr>
          <w:i/>
          <w:iCs/>
        </w:rPr>
        <w:t xml:space="preserve">Quantum Machine Intelligence</w:t>
      </w:r>
      <w:r>
        <w:t xml:space="preserve">; deadline'lı hakemli bildiri istiyorsanız</w:t>
      </w:r>
      <w:r>
        <w:t xml:space="preserve"> </w:t>
      </w:r>
      <w:r>
        <w:rPr>
          <w:i/>
          <w:iCs/>
        </w:rPr>
        <w:t xml:space="preserve">ICPRAM 2027</w:t>
      </w:r>
      <w:r>
        <w:t xml:space="preserve">. Danışmandan venue seçmesi beklenmemelidir.</w:t>
      </w:r>
    </w:p>
    <w:bookmarkEnd w:id="30"/>
    <w:bookmarkEnd w:id="31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7"/>
      </w:rPr>
      <w:t xml:space="preserve">Page </w:t>
    </w:r>
    <w:r>
      <w:rPr>
        <w:rFonts w:ascii="Arial" w:hAnsi="Arial" w:eastAsia="Arial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color w:val="666666"/>
        <w:sz w:val="17"/>
      </w:rPr>
      <w:t>Ottoman QML OCR | Hızlı Yayın Kararı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Arial" w:hAnsi="Arial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64" w:lineRule="auto"/>
    </w:pPr>
    <w:rPr>
      <w:rFonts w:ascii="Arial" w:hAnsi="Arial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64" w:lineRule="auto"/>
    </w:pPr>
    <w:rPr>
      <w:rFonts w:ascii="Arial" w:hAnsi="Arial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280" w:lineRule="auto"/>
    </w:pPr>
    <w:rPr>
      <w:rFonts w:ascii="Arial" w:hAnsi="Arial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40" w:lineRule="auto"/>
      <w:outlineLvl w:val="0"/>
    </w:pPr>
    <w:rPr>
      <w:rFonts w:asciiTheme="majorHAnsi" w:cstheme="majorBidi" w:eastAsiaTheme="majorEastAsia" w:hAnsiTheme="majorHAnsi" w:ascii="Arial" w:hAnsi="Arial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1"/>
    </w:pPr>
    <w:rPr>
      <w:rFonts w:asciiTheme="majorHAnsi" w:cstheme="majorBidi" w:eastAsiaTheme="majorEastAsia" w:hAnsiTheme="majorHAnsi" w:ascii="Arial" w:hAnsi="Arial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cstheme="majorBidi" w:eastAsiaTheme="majorEastAsia" w:ascii="Arial" w:hAnsi="Arial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doi.org/10.1007/s42484-025-00241-z" TargetMode="External"/><Relationship Id="rId20" Type="http://schemas.openxmlformats.org/officeDocument/2006/relationships/hyperlink" Target="https://doi.org/10.1016/j.engappai.2025.111705" TargetMode="External"/><Relationship Id="rId21" Type="http://schemas.openxmlformats.org/officeDocument/2006/relationships/hyperlink" Target="https://doi.org/10.1016/j.neucom.2026.133236" TargetMode="External"/><Relationship Id="rId15" Type="http://schemas.openxmlformats.org/officeDocument/2006/relationships/hyperlink" Target="https://doi.org/10.1038/s41467-018-07090-4" TargetMode="External"/><Relationship Id="rId16" Type="http://schemas.openxmlformats.org/officeDocument/2006/relationships/hyperlink" Target="https://doi.org/10.1038/s41467-021-21728-w" TargetMode="External"/><Relationship Id="rId12" Type="http://schemas.openxmlformats.org/officeDocument/2006/relationships/hyperlink" Target="https://doi.org/10.1038/s41467-021-22539-9" TargetMode="External"/><Relationship Id="rId11" Type="http://schemas.openxmlformats.org/officeDocument/2006/relationships/hyperlink" Target="https://doi.org/10.1038/s41598-025-06035-4" TargetMode="External"/><Relationship Id="rId17" Type="http://schemas.openxmlformats.org/officeDocument/2006/relationships/hyperlink" Target="https://doi.org/10.1038/s41598-025-17769-6" TargetMode="External"/><Relationship Id="rId19" Type="http://schemas.openxmlformats.org/officeDocument/2006/relationships/hyperlink" Target="https://doi.org/10.1109/TNNLS.2026.3677762" TargetMode="External"/><Relationship Id="rId14" Type="http://schemas.openxmlformats.org/officeDocument/2006/relationships/hyperlink" Target="https://doi.org/10.22331/q-2020-02-06-226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07/s42484-025-00241-z" TargetMode="External"/><Relationship Id="rId20" Type="http://schemas.openxmlformats.org/officeDocument/2006/relationships/hyperlink" Target="https://doi.org/10.1016/j.engappai.2025.111705" TargetMode="External"/><Relationship Id="rId21" Type="http://schemas.openxmlformats.org/officeDocument/2006/relationships/hyperlink" Target="https://doi.org/10.1016/j.neucom.2026.133236" TargetMode="External"/><Relationship Id="rId15" Type="http://schemas.openxmlformats.org/officeDocument/2006/relationships/hyperlink" Target="https://doi.org/10.1038/s41467-018-07090-4" TargetMode="External"/><Relationship Id="rId16" Type="http://schemas.openxmlformats.org/officeDocument/2006/relationships/hyperlink" Target="https://doi.org/10.1038/s41467-021-21728-w" TargetMode="External"/><Relationship Id="rId12" Type="http://schemas.openxmlformats.org/officeDocument/2006/relationships/hyperlink" Target="https://doi.org/10.1038/s41467-021-22539-9" TargetMode="External"/><Relationship Id="rId11" Type="http://schemas.openxmlformats.org/officeDocument/2006/relationships/hyperlink" Target="https://doi.org/10.1038/s41598-025-06035-4" TargetMode="External"/><Relationship Id="rId17" Type="http://schemas.openxmlformats.org/officeDocument/2006/relationships/hyperlink" Target="https://doi.org/10.1038/s41598-025-17769-6" TargetMode="External"/><Relationship Id="rId19" Type="http://schemas.openxmlformats.org/officeDocument/2006/relationships/hyperlink" Target="https://doi.org/10.1109/TNNLS.2026.3677762" TargetMode="External"/><Relationship Id="rId14" Type="http://schemas.openxmlformats.org/officeDocument/2006/relationships/hyperlink" Target="https://doi.org/10.22331/q-2020-02-06-2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2026-08-09T15:02:00Z</dcterms:created>
  <dcterms:modified xsi:type="dcterms:W3CDTF">2026-08-09T15:02:00Z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