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2330938438a9cfb90916e2bdfd84c5dc4ec118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Low-Data Class-Aware Classification Evidence</w:t>
      </w:r>
    </w:p>
    <w:p>
      <w:pPr>
        <w:pStyle w:val="FirstParagraph"/>
        <w:spacing w:after="240"/>
      </w:pPr>
      <w:r>
        <w:rPr>
          <w:rFonts w:ascii="Calibri" w:hAnsi="Calibri" w:eastAsia="Calibri"/>
          <w:b/>
          <w:bCs/>
          <w:i/>
          <w:color w:val="666666"/>
          <w:sz w:val="20"/>
        </w:rPr>
        <w:t xml:space="preserve">Date: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2026-08-09</w:t>
      </w:r>
    </w:p>
    <w:p>
      <w:pPr>
        <w:pStyle w:val="BodyText"/>
      </w:pPr>
      <w:r>
        <w:t xml:space="preserve">Generated by inference from the complete saved low-data checkpoint grid. No training was performed.</w:t>
      </w:r>
      <w:r>
        <w:t xml:space="preserve"> </w:t>
      </w:r>
      <w:r>
        <w:t xml:space="preserve">All checkpoint accuracies matched their byte-original Drive JSON rows within the configured tolerance.</w:t>
      </w:r>
    </w:p>
    <w:bookmarkStart w:id="9" w:name="six-seed-test-metrics"/>
    <w:p>
      <w:pPr>
        <w:pStyle w:val="Heading2"/>
        <w:keepNext/>
      </w:pPr>
      <w:r>
        <w:t xml:space="preserve">Six-Seed Test Metrics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535"/>
        <w:gridCol w:w="1162"/>
        <w:gridCol w:w="1091"/>
        <w:gridCol w:w="1381"/>
        <w:gridCol w:w="1381"/>
        <w:gridCol w:w="1415"/>
        <w:gridCol w:w="1395"/>
      </w:tblGrid>
      <w:tr>
        <w:trPr>
          <w:tblHeader w:val="on"/>
          <w:cantSplit/>
          <w:tblHeader w:val="true"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Model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Train fraction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Runs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Accuracy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Macro-F1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Balanced accuracy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Weighted-F1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0.10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49.14 ± 2.48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28.56 ± 2.14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31.58 ± 2.45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46.06 ± 2.41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0.25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67.88 ± 2.13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50.75 ± 3.20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52.15 ± 3.23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66.47 ± 1.81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0.50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75.36 ± 1.43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60.90 ± 2.56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61.79 ± 2.83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74.60 ± 1.55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80.62 ± 0.44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69.61 ± 0.82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70.46 ± 1.65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80.03 ± 0.53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0.10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50.93 ± 2.72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31.56 ± 4.69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34.53 ± 4.66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47.79 ± 3.15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0.25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69.17 ± 1.12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51.50 ± 1.32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52.64 ± 1.35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67.75 ± 0.90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0.50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76.00 ± 1.36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61.25 ± 4.65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62.02 ± 4.34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75.11 ± 1.37</w:t>
            </w:r>
          </w:p>
        </w:tc>
      </w:tr>
      <w:tr>
        <w:trPr>
          <w:cantSplit/>
        </w:trPr>
        <w:tc>
          <w:tcPr>
            <w:tcW w:w="15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1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</w:t>
            </w:r>
          </w:p>
        </w:tc>
        <w:tc>
          <w:tcPr>
            <w:tcW w:w="10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80.90 ± 0.95</w:t>
            </w:r>
          </w:p>
        </w:tc>
        <w:tc>
          <w:tcPr>
            <w:tcW w:w="13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72.07 ± 2.74</w:t>
            </w:r>
          </w:p>
        </w:tc>
        <w:tc>
          <w:tcPr>
            <w:tcW w:w="14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72.64 ± 2.39</w:t>
            </w:r>
          </w:p>
        </w:tc>
        <w:tc>
          <w:tcPr>
            <w:tcW w:w="139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80.33 ± 0.91</w:t>
            </w:r>
          </w:p>
        </w:tc>
      </w:tr>
    </w:tbl>
    <w:bookmarkEnd w:id="9"/>
    <w:bookmarkStart w:id="10" w:name="Xfa2753eedab19cc64b2da7ddc920cb1c631b770"/>
    <w:p>
      <w:pPr>
        <w:pStyle w:val="Heading2"/>
        <w:keepNext/>
        <w:spacing w:before="160"/>
      </w:pPr>
      <w:r>
        <w:t xml:space="preserve">Fixed-Quantum Minus Classical Differences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749"/>
        <w:gridCol w:w="3305"/>
        <w:gridCol w:w="3306"/>
      </w:tblGrid>
      <w:tr>
        <w:trPr>
          <w:tblHeader w:val="on"/>
          <w:cantSplit/>
          <w:tblHeader w:val="true"/>
        </w:trPr>
        <w:tc>
          <w:tcPr>
            <w:tcW w:w="274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Train fraction</w:t>
            </w:r>
          </w:p>
        </w:tc>
        <w:tc>
          <w:tcPr>
            <w:tcW w:w="330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Accuracy difference (points)</w:t>
            </w:r>
          </w:p>
        </w:tc>
        <w:tc>
          <w:tcPr>
            <w:tcW w:w="33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Macro-F1 difference (points)</w:t>
            </w:r>
          </w:p>
        </w:tc>
      </w:tr>
      <w:tr>
        <w:trPr>
          <w:cantSplit/>
        </w:trPr>
        <w:tc>
          <w:tcPr>
            <w:tcW w:w="274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0.10</w:t>
            </w:r>
          </w:p>
        </w:tc>
        <w:tc>
          <w:tcPr>
            <w:tcW w:w="330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+1.79</w:t>
            </w:r>
          </w:p>
        </w:tc>
        <w:tc>
          <w:tcPr>
            <w:tcW w:w="33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+3.00</w:t>
            </w:r>
          </w:p>
        </w:tc>
      </w:tr>
      <w:tr>
        <w:trPr>
          <w:cantSplit/>
        </w:trPr>
        <w:tc>
          <w:tcPr>
            <w:tcW w:w="274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0.25</w:t>
            </w:r>
          </w:p>
        </w:tc>
        <w:tc>
          <w:tcPr>
            <w:tcW w:w="330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+1.29</w:t>
            </w:r>
          </w:p>
        </w:tc>
        <w:tc>
          <w:tcPr>
            <w:tcW w:w="33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+0.74</w:t>
            </w:r>
          </w:p>
        </w:tc>
      </w:tr>
      <w:tr>
        <w:trPr>
          <w:cantSplit/>
        </w:trPr>
        <w:tc>
          <w:tcPr>
            <w:tcW w:w="274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0.50</w:t>
            </w:r>
          </w:p>
        </w:tc>
        <w:tc>
          <w:tcPr>
            <w:tcW w:w="330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+0.64</w:t>
            </w:r>
          </w:p>
        </w:tc>
        <w:tc>
          <w:tcPr>
            <w:tcW w:w="33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+0.35</w:t>
            </w:r>
          </w:p>
        </w:tc>
      </w:tr>
      <w:tr>
        <w:trPr>
          <w:cantSplit/>
        </w:trPr>
        <w:tc>
          <w:tcPr>
            <w:tcW w:w="274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</w:t>
            </w:r>
          </w:p>
        </w:tc>
        <w:tc>
          <w:tcPr>
            <w:tcW w:w="330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+0.29</w:t>
            </w:r>
          </w:p>
        </w:tc>
        <w:tc>
          <w:tcPr>
            <w:tcW w:w="33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+2.46</w:t>
            </w:r>
          </w:p>
        </w:tc>
      </w:tr>
    </w:tbl>
    <w:bookmarkEnd w:id="10"/>
    <w:bookmarkStart w:id="11" w:name="provenance"/>
    <w:p>
      <w:pPr>
        <w:pStyle w:val="Heading2"/>
        <w:keepNext/>
        <w:spacing w:before="160"/>
      </w:pPr>
      <w:r>
        <w:t xml:space="preserve">Provenance</w:t>
      </w:r>
    </w:p>
    <w:p>
      <w:pPr>
        <w:pStyle w:val="Compact"/>
        <w:numPr>
          <w:ilvl w:val="0"/>
          <w:numId w:val="1001"/>
        </w:numPr>
      </w:pPr>
      <w:r>
        <w:t xml:space="preserve">JSON rows are the byte-original Drive artifacts reconciled on 9 August 2026.</w:t>
      </w:r>
    </w:p>
    <w:p>
      <w:pPr>
        <w:pStyle w:val="Compact"/>
        <w:numPr>
          <w:ilvl w:val="0"/>
          <w:numId w:val="1001"/>
        </w:numPr>
      </w:pPr>
      <w:r>
        <w:t xml:space="preserve">Seed-42 checkpoints were already local; seed 43--47 checkpoints came from the downloaded Drive folders.</w:t>
      </w:r>
    </w:p>
    <w:p>
      <w:pPr>
        <w:pStyle w:val="Compact"/>
        <w:numPr>
          <w:ilvl w:val="0"/>
          <w:numId w:val="1001"/>
        </w:numPr>
      </w:pPr>
      <w:r>
        <w:t xml:space="preserve">Classical models use the fixed raw-image test split.</w:t>
      </w:r>
    </w:p>
    <w:p>
      <w:pPr>
        <w:pStyle w:val="Compact"/>
        <w:numPr>
          <w:ilvl w:val="0"/>
          <w:numId w:val="1001"/>
        </w:numPr>
      </w:pPr>
      <w:r>
        <w:t xml:space="preserve">Fixed-quantum models use deterministic seed-specific test features; local caches were reused where available and otherwise regenerated in memory.</w:t>
      </w:r>
    </w:p>
    <w:p>
      <w:pPr>
        <w:pStyle w:val="Compact"/>
        <w:numPr>
          <w:ilvl w:val="0"/>
          <w:numId w:val="1001"/>
        </w:numPr>
      </w:pPr>
      <w:r>
        <w:t xml:space="preserve">The companion JSON contains per-run confusion matrices and all 44 per-class metrics.</w:t>
      </w:r>
    </w:p>
    <w:p>
      <w:pPr>
        <w:pStyle w:val="FirstParagraph"/>
      </w:pPr>
      <w:r>
        <w:t xml:space="preserve">These metrics strengthen class-aware reporting but do not change the exploratory status of the low-data comparison.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Ottoman QML OCR | Low-Data Metrics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2026-08-09T15:02:00Z</dcterms:created>
  <dcterms:modified xsi:type="dcterms:W3CDTF">2026-08-09T15:02:00Z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