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ow-data-scaling-summary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Low-Data Scaling Summary</w:t>
      </w:r>
    </w:p>
    <w:p>
      <w:pPr>
        <w:pStyle w:val="FirstParagraph"/>
        <w:spacing w:after="240"/>
      </w:pPr>
      <w:r>
        <w:rPr>
          <w:rFonts w:ascii="Calibri" w:hAnsi="Calibri" w:eastAsia="Calibri"/>
          <w:i/>
          <w:color w:val="666666"/>
          <w:sz w:val="20"/>
        </w:rPr>
        <w:t xml:space="preserve">Auto-generated from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 w:eastAsia="Calibri"/>
          <w:i/>
          <w:color w:val="666666"/>
          <w:sz w:val="20"/>
        </w:rPr>
        <w:t xml:space="preserve">experiments/low_data/*.json</w:t>
      </w:r>
      <w:r>
        <w:rPr>
          <w:rFonts w:ascii="Calibri" w:hAnsi="Calibri" w:eastAsia="Calibri"/>
          <w:i/>
          <w:color w:val="666666"/>
          <w:sz w:val="20"/>
        </w:rPr>
        <w:t xml:space="preserve">.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Rows with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Style w:val="VerbatimChar"/>
          <w:rFonts w:ascii="Calibri" w:hAnsi="Calibri" w:eastAsia="Calibri"/>
          <w:i/>
          <w:color w:val="666666"/>
          <w:sz w:val="20"/>
        </w:rPr>
        <w:t xml:space="preserve">Runs = 1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are pilot evidence only; do not treat them as multi-seed claims.</w:t>
      </w:r>
    </w:p>
    <w:bookmarkStart w:id="9" w:name="current-local"/>
    <w:p>
      <w:pPr>
        <w:pStyle w:val="Heading2"/>
        <w:keepNext/>
      </w:pPr>
      <w:r>
        <w:t xml:space="preserve">current-local</w:t>
      </w:r>
    </w:p>
    <w:tbl>
      <w:tblPr>
        <w:tblStyle w:val="Table"/>
        <w:tblW w:type="dxa" w:w="1440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256"/>
        <w:gridCol w:w="1462"/>
        <w:gridCol w:w="1364"/>
        <w:gridCol w:w="2226"/>
        <w:gridCol w:w="1719"/>
        <w:gridCol w:w="1946"/>
        <w:gridCol w:w="1916"/>
        <w:gridCol w:w="1511"/>
      </w:tblGrid>
      <w:tr>
        <w:trPr>
          <w:tblHeader w:val="on"/>
          <w:cantSplit/>
          <w:tblHeader w:val="true"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Model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Fraction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Runs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Seeds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Train Size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Best Val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Test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Params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308–309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52.05 ± 2.23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49.14 ± 2.49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88045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771–772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71.25 ± 1.75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67.88 ± 2.13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88045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1542–1543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80.50 ± 1.66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75.36 ± 1.43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88045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3085–3086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87.23 ± 1.12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80.62 ± 0.44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88045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308–309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56.38 ± 3.00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50.93 ± 2.72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88488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771–772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72.03 ± 1.07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69.17 ± 1.12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88488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1542–1543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82.41 ± 2.85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76.00 ± 1.36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88488</w:t>
            </w:r>
          </w:p>
        </w:tc>
      </w:tr>
      <w:tr>
        <w:trPr>
          <w:cantSplit/>
        </w:trPr>
        <w:tc>
          <w:tcPr>
            <w:tcW w:w="225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46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36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</w:t>
            </w:r>
          </w:p>
        </w:tc>
        <w:tc>
          <w:tcPr>
            <w:tcW w:w="222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42,43,44,45,46,47</w:t>
            </w:r>
          </w:p>
        </w:tc>
        <w:tc>
          <w:tcPr>
            <w:tcW w:w="17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3085–3086</w:t>
            </w:r>
          </w:p>
        </w:tc>
        <w:tc>
          <w:tcPr>
            <w:tcW w:w="19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86.50 ± 1.15</w:t>
            </w:r>
          </w:p>
        </w:tc>
        <w:tc>
          <w:tcPr>
            <w:tcW w:w="191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80.90 ± 0.95</w:t>
            </w:r>
          </w:p>
        </w:tc>
        <w:tc>
          <w:tcPr>
            <w:tcW w:w="151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88488</w:t>
            </w:r>
          </w:p>
        </w:tc>
      </w:tr>
    </w:tbl>
    <w:bookmarkEnd w:id="9"/>
    <w:bookmarkStart w:id="10" w:name="thesis-faithful"/>
    <w:p>
      <w:pPr>
        <w:pStyle w:val="Heading2"/>
        <w:keepNext/>
        <w:spacing w:before="160"/>
      </w:pPr>
      <w:r>
        <w:t xml:space="preserve">thesis-faithful</w:t>
      </w:r>
    </w:p>
    <w:tbl>
      <w:tblPr>
        <w:tblStyle w:val="Table"/>
        <w:tblW w:type="dxa" w:w="1440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219"/>
        <w:gridCol w:w="1592"/>
        <w:gridCol w:w="1474"/>
        <w:gridCol w:w="1474"/>
        <w:gridCol w:w="1574"/>
        <w:gridCol w:w="2173"/>
        <w:gridCol w:w="2137"/>
        <w:gridCol w:w="1757"/>
      </w:tblGrid>
      <w:tr>
        <w:trPr>
          <w:tblHeader w:val="on"/>
          <w:cantSplit/>
          <w:tblHeader w:val="true"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Model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Fraction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Runs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Seeds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Train Size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Best Val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Test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Params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70.18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65.88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1378124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771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85.67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79.61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1378124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1542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88.30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82.40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1378124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3085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92.40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85.19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1378124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55.56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50.43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248428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771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66.67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62.45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248428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1542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79.24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72.10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248428</w:t>
            </w:r>
          </w:p>
        </w:tc>
      </w:tr>
      <w:tr>
        <w:trPr>
          <w:cantSplit/>
        </w:trPr>
        <w:tc>
          <w:tcPr>
            <w:tcW w:w="221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592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</w:t>
            </w:r>
          </w:p>
        </w:tc>
        <w:tc>
          <w:tcPr>
            <w:tcW w:w="14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42</w:t>
            </w:r>
          </w:p>
        </w:tc>
        <w:tc>
          <w:tcPr>
            <w:tcW w:w="157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3085</w:t>
            </w:r>
          </w:p>
        </w:tc>
        <w:tc>
          <w:tcPr>
            <w:tcW w:w="2173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84.21 ± 0.00</w:t>
            </w:r>
          </w:p>
        </w:tc>
        <w:tc>
          <w:tcPr>
            <w:tcW w:w="213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78.33 ± 0.00</w:t>
            </w:r>
          </w:p>
        </w:tc>
        <w:tc>
          <w:tcPr>
            <w:tcW w:w="1757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248428</w:t>
            </w:r>
          </w:p>
        </w:tc>
      </w:tr>
    </w:tbl>
    <w:bookmarkEnd w:id="10"/>
    <w:bookmarkStart w:id="11" w:name="exploratory-follow-up-signals"/>
    <w:p>
      <w:pPr>
        <w:pStyle w:val="Heading2"/>
        <w:keepNext/>
        <w:spacing w:before="160"/>
      </w:pPr>
      <w:r>
        <w:t xml:space="preserve">Exploratory Follow-up Signals</w:t>
      </w:r>
    </w:p>
    <w:tbl>
      <w:tblPr>
        <w:tblStyle w:val="Table"/>
        <w:tblW w:type="dxa" w:w="1440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839"/>
        <w:gridCol w:w="1351"/>
        <w:gridCol w:w="1858"/>
        <w:gridCol w:w="1376"/>
        <w:gridCol w:w="1971"/>
        <w:gridCol w:w="1376"/>
        <w:gridCol w:w="1389"/>
        <w:gridCol w:w="1270"/>
        <w:gridCol w:w="1970"/>
      </w:tblGrid>
      <w:tr>
        <w:trPr>
          <w:tblHeader w:val="on"/>
          <w:cantSplit/>
          <w:tblHeader w:val="true"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Family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Fraction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Classical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Test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Quantum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Test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Gap C-Q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Signal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 xml:space="preserve">Reason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current-local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49.14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50.93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-1.79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yes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quantum_wins, within_2_points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current-local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67.88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69.17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-1.29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yes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quantum_wins, within_2_points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current-local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75.36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76.00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-0.64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yes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quantum_wins, within_2_points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current-local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classical_conv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80.62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non_trainable_quantum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80.90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-0.28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yes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quantum_wins, within_2_points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thesis-faithful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0.10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65.88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50.43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15.45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thesis-faithful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0.25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79.61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62.45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17.16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thesis-faithful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0.50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82.40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72.10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10.30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none</w:t>
            </w:r>
          </w:p>
        </w:tc>
      </w:tr>
      <w:tr>
        <w:trPr>
          <w:cantSplit/>
        </w:trPr>
        <w:tc>
          <w:tcPr>
            <w:tcW w:w="183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thesis-faithful</w:t>
            </w:r>
          </w:p>
        </w:tc>
        <w:tc>
          <w:tcPr>
            <w:tcW w:w="135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1.00</w:t>
            </w:r>
          </w:p>
        </w:tc>
        <w:tc>
          <w:tcPr>
            <w:tcW w:w="185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thesis_cnniiii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85.19</w:t>
            </w:r>
          </w:p>
        </w:tc>
        <w:tc>
          <w:tcPr>
            <w:tcW w:w="1971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thesis_hqnn2</w:t>
            </w:r>
          </w:p>
        </w:tc>
        <w:tc>
          <w:tcPr>
            <w:tcW w:w="137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78.33</w:t>
            </w:r>
          </w:p>
        </w:tc>
        <w:tc>
          <w:tcPr>
            <w:tcW w:w="1389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6.86</w:t>
            </w:r>
          </w:p>
        </w:tc>
        <w:tc>
          <w:tcPr>
            <w:tcW w:w="12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</w:t>
            </w:r>
          </w:p>
        </w:tc>
        <w:tc>
          <w:tcPr>
            <w:tcW w:w="197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6"/>
              </w:rPr>
              <w:t xml:space="preserve">none</w:t>
            </w:r>
          </w:p>
        </w:tc>
      </w:tr>
    </w:tbl>
    <w:p>
      <w:pPr>
        <w:pStyle w:val="BodyText"/>
        <w:spacing w:before="160"/>
      </w:pPr>
      <w:r>
        <w:t xml:space="preserve">Decision: the planned multi-seed grid is complete; these heuristic signals remain exploratory and must be interpreted with the paired statistics report.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5840" w:h="12240"/>
      <w:pgMar w:top="720" w:right="720" w:bottom="720" w:left="72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Low-Data Evidence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2026-07-28T20:16:03Z</dcterms:created>
  <dcterms:modified xsi:type="dcterms:W3CDTF">2026-07-28T20:16:03Z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