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statistical-evidence-summary"/>
    <w:p>
      <w:pPr>
        <w:pStyle w:val="Heading1"/>
        <w:keepNext/>
        <w:spacing w:before="0" w:after="280" w:line="240" w:lineRule="auto"/>
        <w:jc w:val="left"/>
      </w:pPr>
      <w:r>
        <w:rPr>
          <w:rFonts w:ascii="Calibri" w:hAnsi="Calibri" w:eastAsia="Calibri"/>
          <w:b/>
          <w:color w:val="0B2545"/>
          <w:sz w:val="46"/>
        </w:rPr>
        <w:t xml:space="preserve">Statistical Evidence Summary</w:t>
      </w:r>
    </w:p>
    <w:p>
      <w:pPr>
        <w:pStyle w:val="FirstParagraph"/>
        <w:spacing w:after="240"/>
      </w:pPr>
      <w:r>
        <w:rPr>
          <w:rFonts w:ascii="Calibri" w:hAnsi="Calibri" w:eastAsia="Calibri"/>
          <w:b/>
          <w:bCs/>
          <w:i/>
          <w:color w:val="666666"/>
          <w:sz w:val="20"/>
        </w:rPr>
        <w:t xml:space="preserve">Date:</w:t>
      </w:r>
      <w:r>
        <w:rPr>
          <w:rFonts w:ascii="Calibri" w:hAnsi="Calibri" w:eastAsia="Calibri"/>
          <w:i/>
          <w:color w:val="666666"/>
          <w:sz w:val="20"/>
        </w:rPr>
        <w:t xml:space="preserve"> </w:t>
      </w:r>
      <w:r>
        <w:rPr>
          <w:rFonts w:ascii="Calibri" w:hAnsi="Calibri" w:eastAsia="Calibri"/>
          <w:i/>
          <w:color w:val="666666"/>
          <w:sz w:val="20"/>
        </w:rPr>
        <w:t xml:space="preserve">August 9, 2026</w:t>
      </w:r>
    </w:p>
    <w:p>
      <w:pPr>
        <w:pStyle w:val="BodyText"/>
      </w:pPr>
      <w:r>
        <w:t xml:space="preserve">This report is generated from repository benchmark artifacts. It is intended to support manuscript wording, not to create stronger claims than the artifacts justify.</w:t>
      </w:r>
    </w:p>
    <w:bookmarkStart w:id="9" w:name="method-notes"/>
    <w:p>
      <w:pPr>
        <w:pStyle w:val="Heading2"/>
        <w:keepNext/>
      </w:pPr>
      <w:r>
        <w:t xml:space="preserve">Method Notes</w:t>
      </w:r>
    </w:p>
    <w:p>
      <w:pPr>
        <w:pStyle w:val="Compact"/>
        <w:numPr>
          <w:ilvl w:val="0"/>
          <w:numId w:val="1001"/>
        </w:numPr>
      </w:pPr>
      <w:r>
        <w:t xml:space="preserve">95% confidence intervals use the Student t distribution around the reported mean test accuracy.</w:t>
      </w:r>
    </w:p>
    <w:p>
      <w:pPr>
        <w:pStyle w:val="Compact"/>
        <w:numPr>
          <w:ilvl w:val="0"/>
          <w:numId w:val="1001"/>
        </w:numPr>
      </w:pPr>
      <w:r>
        <w:t xml:space="preserve">Full-data pairwise rows use two-sided Welch tests and standardized mean differences from summary statistics.</w:t>
      </w:r>
    </w:p>
    <w:p>
      <w:pPr>
        <w:pStyle w:val="Compact"/>
        <w:numPr>
          <w:ilvl w:val="0"/>
          <w:numId w:val="1001"/>
        </w:numPr>
      </w:pPr>
      <w:r>
        <w:t xml:space="preserve">Full-data groups have</w:t>
      </w:r>
      <w:r>
        <w:t xml:space="preserve"> </w:t>
      </w:r>
      <w:r>
        <w:rPr>
          <w:rStyle w:val="VerbatimChar"/>
        </w:rPr>
        <w:t xml:space="preserve">n=3</w:t>
      </w:r>
      <w:r>
        <w:t xml:space="preserve">; their Welch p-values are descriptive reviewer aids rather than definitive inferential evidence.</w:t>
      </w:r>
    </w:p>
    <w:p>
      <w:pPr>
        <w:pStyle w:val="Compact"/>
        <w:numPr>
          <w:ilvl w:val="0"/>
          <w:numId w:val="1001"/>
        </w:numPr>
      </w:pPr>
      <w:r>
        <w:t xml:space="preserve">Low-data current-local rows use the paired seed design (</w:t>
      </w:r>
      <w:r>
        <w:rPr>
          <w:rStyle w:val="VerbatimChar"/>
        </w:rPr>
        <w:t xml:space="preserve">n=6</w:t>
      </w:r>
      <w:r>
        <w:t xml:space="preserve">, seeds 42--47); paired t and exact sign-flip tests are primary, with Holm correction across four fractions.</w:t>
      </w:r>
    </w:p>
    <w:p>
      <w:pPr>
        <w:pStyle w:val="Compact"/>
        <w:numPr>
          <w:ilvl w:val="0"/>
          <w:numId w:val="1001"/>
        </w:numPr>
      </w:pPr>
      <w:r>
        <w:t xml:space="preserve">Seed 42 used the local 3,427-image parser state, while Colab seeds 43--47 used 3,428 loaded images. Training subset sizes therefore differ by one image; the low-data analysis is near-matched and exploratory.</w:t>
      </w:r>
    </w:p>
    <w:p>
      <w:pPr>
        <w:pStyle w:val="Compact"/>
        <w:numPr>
          <w:ilvl w:val="0"/>
          <w:numId w:val="1001"/>
        </w:numPr>
      </w:pPr>
      <w:r>
        <w:t xml:space="preserve">Byte-original Drive JSON for seeds 43--47 was reconciled into the canonical low-data directory on August 9, 2026; the former notebook reconstructions remain documented in a superseded provenance manifest.</w:t>
      </w:r>
    </w:p>
    <w:p>
      <w:pPr>
        <w:pStyle w:val="Compact"/>
        <w:numPr>
          <w:ilvl w:val="0"/>
          <w:numId w:val="1001"/>
        </w:numPr>
      </w:pPr>
      <w:r>
        <w:t xml:space="preserve">Thesis-faithful low-data rows are seed-42 pilot evidence only, so no confidence interval or significance test is reported for that axis.</w:t>
      </w:r>
    </w:p>
    <w:bookmarkEnd w:id="9"/>
    <w:bookmarkStart w:id="10" w:name="full-data-test-accuracy-intervals"/>
    <w:p>
      <w:pPr>
        <w:pStyle w:val="Heading2"/>
        <w:keepNext/>
      </w:pPr>
      <w:r>
        <w:t xml:space="preserve">Full-Data Test Accuracy Intervals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tblInd w:w="120" w:type="dxa"/>
        <w:tblBorders>
          <w:top w:val="single" w:sz="3" w:color="D7DEE8"/>
          <w:left w:val="single" w:sz="3" w:color="D7DEE8"/>
          <w:bottom w:val="single" w:sz="3" w:color="D7DEE8"/>
          <w:right w:val="single" w:sz="3" w:color="D7DEE8"/>
          <w:insideH w:val="single" w:sz="3" w:color="D7DEE8"/>
          <w:insideV w:val="single" w:sz="3" w:color="D7DEE8"/>
        </w:tblBorders>
      </w:tblPr>
      <w:tblGrid>
        <w:gridCol w:w="1857"/>
        <w:gridCol w:w="1900"/>
        <w:gridCol w:w="1192"/>
        <w:gridCol w:w="1324"/>
        <w:gridCol w:w="1578"/>
        <w:gridCol w:w="1509"/>
      </w:tblGrid>
      <w:tr>
        <w:trPr>
          <w:tblHeader w:val="on"/>
          <w:cantSplit/>
          <w:tblHeader w:val="true"/>
        </w:trPr>
        <w:tc>
          <w:tcPr>
            <w:tcW w:w="185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 xml:space="preserve">Family</w:t>
            </w:r>
          </w:p>
        </w:tc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 xml:space="preserve">Model</w:t>
            </w:r>
          </w:p>
        </w:tc>
        <w:tc>
          <w:tcPr>
            <w:tcW w:w="119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 xml:space="preserve">Runs</w:t>
            </w:r>
          </w:p>
        </w:tc>
        <w:tc>
          <w:tcPr>
            <w:tcW w:w="132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 xml:space="preserve">Seeds</w:t>
            </w:r>
          </w:p>
        </w:tc>
        <w:tc>
          <w:tcPr>
            <w:tcW w:w="1578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 xml:space="preserve">Test</w:t>
            </w:r>
          </w:p>
        </w:tc>
        <w:tc>
          <w:tcPr>
            <w:tcW w:w="1509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 xml:space="preserve">95% CI</w:t>
            </w:r>
          </w:p>
        </w:tc>
      </w:tr>
      <w:tr>
        <w:trPr>
          <w:cantSplit/>
        </w:trPr>
        <w:tc>
          <w:tcPr>
            <w:tcW w:w="185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trainable-quantum-case-study</w:t>
            </w:r>
          </w:p>
        </w:tc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V7_trainable_quantum_clean_20260427</w:t>
            </w:r>
          </w:p>
        </w:tc>
        <w:tc>
          <w:tcPr>
            <w:tcW w:w="119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1</w:t>
            </w:r>
          </w:p>
        </w:tc>
        <w:tc>
          <w:tcPr>
            <w:tcW w:w="132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-</w:t>
            </w:r>
          </w:p>
        </w:tc>
        <w:tc>
          <w:tcPr>
            <w:tcW w:w="1578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65.88 ± 0.00</w:t>
            </w:r>
          </w:p>
        </w:tc>
        <w:tc>
          <w:tcPr>
            <w:tcW w:w="1509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-</w:t>
            </w:r>
          </w:p>
        </w:tc>
      </w:tr>
      <w:tr>
        <w:trPr>
          <w:cantSplit/>
        </w:trPr>
        <w:tc>
          <w:tcPr>
            <w:tcW w:w="185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trainable-quantum-case-study</w:t>
            </w:r>
          </w:p>
        </w:tc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V7_trainable_quantum_documented</w:t>
            </w:r>
          </w:p>
        </w:tc>
        <w:tc>
          <w:tcPr>
            <w:tcW w:w="119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1</w:t>
            </w:r>
          </w:p>
        </w:tc>
        <w:tc>
          <w:tcPr>
            <w:tcW w:w="132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-</w:t>
            </w:r>
          </w:p>
        </w:tc>
        <w:tc>
          <w:tcPr>
            <w:tcW w:w="1578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65.02 ± 0.00</w:t>
            </w:r>
          </w:p>
        </w:tc>
        <w:tc>
          <w:tcPr>
            <w:tcW w:w="1509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-</w:t>
            </w:r>
          </w:p>
        </w:tc>
      </w:tr>
      <w:tr>
        <w:trPr>
          <w:cantSplit/>
        </w:trPr>
        <w:tc>
          <w:tcPr>
            <w:tcW w:w="185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trainable-quantum-case-study</w:t>
            </w:r>
          </w:p>
        </w:tc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V7_trainable_quantum_rerun</w:t>
            </w:r>
          </w:p>
        </w:tc>
        <w:tc>
          <w:tcPr>
            <w:tcW w:w="119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1</w:t>
            </w:r>
          </w:p>
        </w:tc>
        <w:tc>
          <w:tcPr>
            <w:tcW w:w="132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-</w:t>
            </w:r>
          </w:p>
        </w:tc>
        <w:tc>
          <w:tcPr>
            <w:tcW w:w="1578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72.53 ± 0.00</w:t>
            </w:r>
          </w:p>
        </w:tc>
        <w:tc>
          <w:tcPr>
            <w:tcW w:w="1509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-</w:t>
            </w:r>
          </w:p>
        </w:tc>
      </w:tr>
      <w:tr>
        <w:trPr>
          <w:cantSplit/>
        </w:trPr>
        <w:tc>
          <w:tcPr>
            <w:tcW w:w="185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current-local</w:t>
            </w:r>
          </w:p>
        </w:tc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classical_conv</w:t>
            </w:r>
          </w:p>
        </w:tc>
        <w:tc>
          <w:tcPr>
            <w:tcW w:w="119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3</w:t>
            </w:r>
          </w:p>
        </w:tc>
        <w:tc>
          <w:tcPr>
            <w:tcW w:w="132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42,43,44</w:t>
            </w:r>
          </w:p>
        </w:tc>
        <w:tc>
          <w:tcPr>
            <w:tcW w:w="1578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81.40 ± 1.06</w:t>
            </w:r>
          </w:p>
        </w:tc>
        <w:tc>
          <w:tcPr>
            <w:tcW w:w="1509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[78.77, 84.03]</w:t>
            </w:r>
          </w:p>
        </w:tc>
      </w:tr>
      <w:tr>
        <w:trPr>
          <w:cantSplit/>
        </w:trPr>
        <w:tc>
          <w:tcPr>
            <w:tcW w:w="185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current-local</w:t>
            </w:r>
          </w:p>
        </w:tc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non_trainable_quantum</w:t>
            </w:r>
          </w:p>
        </w:tc>
        <w:tc>
          <w:tcPr>
            <w:tcW w:w="119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3</w:t>
            </w:r>
          </w:p>
        </w:tc>
        <w:tc>
          <w:tcPr>
            <w:tcW w:w="132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42,43,44</w:t>
            </w:r>
          </w:p>
        </w:tc>
        <w:tc>
          <w:tcPr>
            <w:tcW w:w="1578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80.40 ± 0.69</w:t>
            </w:r>
          </w:p>
        </w:tc>
        <w:tc>
          <w:tcPr>
            <w:tcW w:w="1509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[78.69, 82.11]</w:t>
            </w:r>
          </w:p>
        </w:tc>
      </w:tr>
      <w:tr>
        <w:trPr>
          <w:cantSplit/>
        </w:trPr>
        <w:tc>
          <w:tcPr>
            <w:tcW w:w="185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current-local</w:t>
            </w:r>
          </w:p>
        </w:tc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param_linear</w:t>
            </w:r>
          </w:p>
        </w:tc>
        <w:tc>
          <w:tcPr>
            <w:tcW w:w="119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3</w:t>
            </w:r>
          </w:p>
        </w:tc>
        <w:tc>
          <w:tcPr>
            <w:tcW w:w="132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42,43,44</w:t>
            </w:r>
          </w:p>
        </w:tc>
        <w:tc>
          <w:tcPr>
            <w:tcW w:w="1578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81.12 ± 2.27</w:t>
            </w:r>
          </w:p>
        </w:tc>
        <w:tc>
          <w:tcPr>
            <w:tcW w:w="1509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[75.48, 86.76]</w:t>
            </w:r>
          </w:p>
        </w:tc>
      </w:tr>
      <w:tr>
        <w:trPr>
          <w:cantSplit/>
        </w:trPr>
        <w:tc>
          <w:tcPr>
            <w:tcW w:w="185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modern-classical</w:t>
            </w:r>
          </w:p>
        </w:tc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resnet18_cifar_gray</w:t>
            </w:r>
          </w:p>
        </w:tc>
        <w:tc>
          <w:tcPr>
            <w:tcW w:w="119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3</w:t>
            </w:r>
          </w:p>
        </w:tc>
        <w:tc>
          <w:tcPr>
            <w:tcW w:w="132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42,43,44</w:t>
            </w:r>
          </w:p>
        </w:tc>
        <w:tc>
          <w:tcPr>
            <w:tcW w:w="1578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88.13 ± 0.82</w:t>
            </w:r>
          </w:p>
        </w:tc>
        <w:tc>
          <w:tcPr>
            <w:tcW w:w="1509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[86.09, 90.17]</w:t>
            </w:r>
          </w:p>
        </w:tc>
      </w:tr>
      <w:tr>
        <w:trPr>
          <w:cantSplit/>
        </w:trPr>
        <w:tc>
          <w:tcPr>
            <w:tcW w:w="185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thesis-faithful</w:t>
            </w:r>
          </w:p>
        </w:tc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thesis_cnn3</w:t>
            </w:r>
          </w:p>
        </w:tc>
        <w:tc>
          <w:tcPr>
            <w:tcW w:w="119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3</w:t>
            </w:r>
          </w:p>
        </w:tc>
        <w:tc>
          <w:tcPr>
            <w:tcW w:w="132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42,43,44</w:t>
            </w:r>
          </w:p>
        </w:tc>
        <w:tc>
          <w:tcPr>
            <w:tcW w:w="1578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79.33 ± 1.26</w:t>
            </w:r>
          </w:p>
        </w:tc>
        <w:tc>
          <w:tcPr>
            <w:tcW w:w="1509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[76.20, 82.46]</w:t>
            </w:r>
          </w:p>
        </w:tc>
      </w:tr>
      <w:tr>
        <w:trPr>
          <w:cantSplit/>
        </w:trPr>
        <w:tc>
          <w:tcPr>
            <w:tcW w:w="185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thesis-faithful</w:t>
            </w:r>
          </w:p>
        </w:tc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thesis_cnniiii</w:t>
            </w:r>
          </w:p>
        </w:tc>
        <w:tc>
          <w:tcPr>
            <w:tcW w:w="119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3</w:t>
            </w:r>
          </w:p>
        </w:tc>
        <w:tc>
          <w:tcPr>
            <w:tcW w:w="132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42,43,44</w:t>
            </w:r>
          </w:p>
        </w:tc>
        <w:tc>
          <w:tcPr>
            <w:tcW w:w="1578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85.26 ± 0.97</w:t>
            </w:r>
          </w:p>
        </w:tc>
        <w:tc>
          <w:tcPr>
            <w:tcW w:w="1509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[82.85, 87.67]</w:t>
            </w:r>
          </w:p>
        </w:tc>
      </w:tr>
      <w:tr>
        <w:trPr>
          <w:cantSplit/>
        </w:trPr>
        <w:tc>
          <w:tcPr>
            <w:tcW w:w="185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thesis-faithful</w:t>
            </w:r>
          </w:p>
        </w:tc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thesis_hqnn2</w:t>
            </w:r>
          </w:p>
        </w:tc>
        <w:tc>
          <w:tcPr>
            <w:tcW w:w="119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3</w:t>
            </w:r>
          </w:p>
        </w:tc>
        <w:tc>
          <w:tcPr>
            <w:tcW w:w="132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42,43,44</w:t>
            </w:r>
          </w:p>
        </w:tc>
        <w:tc>
          <w:tcPr>
            <w:tcW w:w="1578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78.61 ± 0.69</w:t>
            </w:r>
          </w:p>
        </w:tc>
        <w:tc>
          <w:tcPr>
            <w:tcW w:w="1509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[76.90, 80.32]</w:t>
            </w:r>
          </w:p>
        </w:tc>
      </w:tr>
    </w:tbl>
    <w:bookmarkEnd w:id="10"/>
    <w:bookmarkStart w:id="11" w:name="full-data-pairwise-comparisons"/>
    <w:p>
      <w:pPr>
        <w:pStyle w:val="Heading2"/>
        <w:keepNext/>
        <w:spacing w:before="160"/>
      </w:pPr>
      <w:r>
        <w:t xml:space="preserve">Full-Data Pairwise Comparisons</w:t>
      </w:r>
    </w:p>
    <w:p>
      <w:pPr>
        <w:pStyle w:val="FirstParagraph"/>
      </w:pPr>
      <w:r>
        <w:t xml:space="preserve">Positive differences mean the left model has higher mean test accuracy.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tblInd w:w="120" w:type="dxa"/>
        <w:tblBorders>
          <w:top w:val="single" w:sz="3" w:color="D7DEE8"/>
          <w:left w:val="single" w:sz="3" w:color="D7DEE8"/>
          <w:bottom w:val="single" w:sz="3" w:color="D7DEE8"/>
          <w:right w:val="single" w:sz="3" w:color="D7DEE8"/>
          <w:insideH w:val="single" w:sz="3" w:color="D7DEE8"/>
          <w:insideV w:val="single" w:sz="3" w:color="D7DEE8"/>
        </w:tblBorders>
      </w:tblPr>
      <w:tblGrid>
        <w:gridCol w:w="1623"/>
        <w:gridCol w:w="1127"/>
        <w:gridCol w:w="1135"/>
        <w:gridCol w:w="983"/>
        <w:gridCol w:w="1100"/>
        <w:gridCol w:w="991"/>
        <w:gridCol w:w="981"/>
        <w:gridCol w:w="1420"/>
      </w:tblGrid>
      <w:tr>
        <w:trPr>
          <w:tblHeader w:val="on"/>
          <w:cantSplit/>
          <w:tblHeader w:val="true"/>
        </w:trPr>
        <w:tc>
          <w:tcPr>
            <w:tcW w:w="1623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 xml:space="preserve">Comparison</w:t>
            </w:r>
          </w:p>
        </w:tc>
        <w:tc>
          <w:tcPr>
            <w:tcW w:w="112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 xml:space="preserve">Left</w:t>
            </w:r>
          </w:p>
        </w:tc>
        <w:tc>
          <w:tcPr>
            <w:tcW w:w="1135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 xml:space="preserve">Right</w:t>
            </w:r>
          </w:p>
        </w:tc>
        <w:tc>
          <w:tcPr>
            <w:tcW w:w="983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 xml:space="preserve">Difference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 xml:space="preserve">95% CI</w:t>
            </w:r>
          </w:p>
        </w:tc>
        <w:tc>
          <w:tcPr>
            <w:tcW w:w="99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 xml:space="preserve">Welch p</w:t>
            </w:r>
          </w:p>
        </w:tc>
        <w:tc>
          <w:tcPr>
            <w:tcW w:w="98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 xml:space="preserve">Cohen's d</w:t>
            </w:r>
          </w:p>
        </w:tc>
        <w:tc>
          <w:tcPr>
            <w:tcW w:w="142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 xml:space="preserve">Interpretation</w:t>
            </w:r>
          </w:p>
        </w:tc>
      </w:tr>
      <w:tr>
        <w:trPr>
          <w:cantSplit/>
        </w:trPr>
        <w:tc>
          <w:tcPr>
            <w:tcW w:w="1623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thesis-faithful best classical vs best quantum</w:t>
            </w:r>
          </w:p>
        </w:tc>
        <w:tc>
          <w:tcPr>
            <w:tcW w:w="112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thesis_cnniiii</w:t>
            </w:r>
          </w:p>
        </w:tc>
        <w:tc>
          <w:tcPr>
            <w:tcW w:w="1135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thesis_hqnn2</w:t>
            </w:r>
          </w:p>
        </w:tc>
        <w:tc>
          <w:tcPr>
            <w:tcW w:w="983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6.65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[4.66, 8.64]</w:t>
            </w:r>
          </w:p>
        </w:tc>
        <w:tc>
          <w:tcPr>
            <w:tcW w:w="99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0.001</w:t>
            </w:r>
          </w:p>
        </w:tc>
        <w:tc>
          <w:tcPr>
            <w:tcW w:w="98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7.90</w:t>
            </w:r>
          </w:p>
        </w:tc>
        <w:tc>
          <w:tcPr>
            <w:tcW w:w="142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left higher on mean test accuracy</w:t>
            </w:r>
          </w:p>
        </w:tc>
      </w:tr>
      <w:tr>
        <w:trPr>
          <w:cantSplit/>
        </w:trPr>
        <w:tc>
          <w:tcPr>
            <w:tcW w:w="1623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thesis-faithful CNN-III vs HQNN-II</w:t>
            </w:r>
          </w:p>
        </w:tc>
        <w:tc>
          <w:tcPr>
            <w:tcW w:w="112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thesis_cnn3</w:t>
            </w:r>
          </w:p>
        </w:tc>
        <w:tc>
          <w:tcPr>
            <w:tcW w:w="1135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thesis_hqnn2</w:t>
            </w:r>
          </w:p>
        </w:tc>
        <w:tc>
          <w:tcPr>
            <w:tcW w:w="983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0.72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[-1.87, 3.31]</w:t>
            </w:r>
          </w:p>
        </w:tc>
        <w:tc>
          <w:tcPr>
            <w:tcW w:w="99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0.447</w:t>
            </w:r>
          </w:p>
        </w:tc>
        <w:tc>
          <w:tcPr>
            <w:tcW w:w="98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0.71</w:t>
            </w:r>
          </w:p>
        </w:tc>
        <w:tc>
          <w:tcPr>
            <w:tcW w:w="142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left higher on mean test accuracy</w:t>
            </w:r>
          </w:p>
        </w:tc>
      </w:tr>
      <w:tr>
        <w:trPr>
          <w:cantSplit/>
        </w:trPr>
        <w:tc>
          <w:tcPr>
            <w:tcW w:w="1623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current-local strongest classical vs non-trainable quantum</w:t>
            </w:r>
          </w:p>
        </w:tc>
        <w:tc>
          <w:tcPr>
            <w:tcW w:w="112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classical_conv</w:t>
            </w:r>
          </w:p>
        </w:tc>
        <w:tc>
          <w:tcPr>
            <w:tcW w:w="1135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non_trainable_quantum</w:t>
            </w:r>
          </w:p>
        </w:tc>
        <w:tc>
          <w:tcPr>
            <w:tcW w:w="983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1.00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[-1.17, 3.17]</w:t>
            </w:r>
          </w:p>
        </w:tc>
        <w:tc>
          <w:tcPr>
            <w:tcW w:w="99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0.254</w:t>
            </w:r>
          </w:p>
        </w:tc>
        <w:tc>
          <w:tcPr>
            <w:tcW w:w="98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1.12</w:t>
            </w:r>
          </w:p>
        </w:tc>
        <w:tc>
          <w:tcPr>
            <w:tcW w:w="142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left higher on mean test accuracy</w:t>
            </w:r>
          </w:p>
        </w:tc>
      </w:tr>
      <w:tr>
        <w:trPr>
          <w:cantSplit/>
        </w:trPr>
        <w:tc>
          <w:tcPr>
            <w:tcW w:w="1623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current-local matched linear replacement vs non-trainable quantum</w:t>
            </w:r>
          </w:p>
        </w:tc>
        <w:tc>
          <w:tcPr>
            <w:tcW w:w="112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param_linear</w:t>
            </w:r>
          </w:p>
        </w:tc>
        <w:tc>
          <w:tcPr>
            <w:tcW w:w="1135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non_trainable_quantum</w:t>
            </w:r>
          </w:p>
        </w:tc>
        <w:tc>
          <w:tcPr>
            <w:tcW w:w="983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0.72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[-4.38, 5.82]</w:t>
            </w:r>
          </w:p>
        </w:tc>
        <w:tc>
          <w:tcPr>
            <w:tcW w:w="99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0.644</w:t>
            </w:r>
          </w:p>
        </w:tc>
        <w:tc>
          <w:tcPr>
            <w:tcW w:w="98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0.43</w:t>
            </w:r>
          </w:p>
        </w:tc>
        <w:tc>
          <w:tcPr>
            <w:tcW w:w="142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left higher on mean test accuracy</w:t>
            </w:r>
          </w:p>
        </w:tc>
      </w:tr>
      <w:tr>
        <w:trPr>
          <w:cantSplit/>
        </w:trPr>
        <w:tc>
          <w:tcPr>
            <w:tcW w:w="1623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current-local convolution vs matched linear replacement</w:t>
            </w:r>
          </w:p>
        </w:tc>
        <w:tc>
          <w:tcPr>
            <w:tcW w:w="112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classical_conv</w:t>
            </w:r>
          </w:p>
        </w:tc>
        <w:tc>
          <w:tcPr>
            <w:tcW w:w="1135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param_linear</w:t>
            </w:r>
          </w:p>
        </w:tc>
        <w:tc>
          <w:tcPr>
            <w:tcW w:w="983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0.28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[-4.48, 5.04]</w:t>
            </w:r>
          </w:p>
        </w:tc>
        <w:tc>
          <w:tcPr>
            <w:tcW w:w="99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0.860</w:t>
            </w:r>
          </w:p>
        </w:tc>
        <w:tc>
          <w:tcPr>
            <w:tcW w:w="98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0.16</w:t>
            </w:r>
          </w:p>
        </w:tc>
        <w:tc>
          <w:tcPr>
            <w:tcW w:w="142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left higher on mean test accuracy</w:t>
            </w:r>
          </w:p>
        </w:tc>
      </w:tr>
      <w:tr>
        <w:trPr>
          <w:cantSplit/>
        </w:trPr>
        <w:tc>
          <w:tcPr>
            <w:tcW w:w="1623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modern classical upper bound vs thesis-faithful best</w:t>
            </w:r>
          </w:p>
        </w:tc>
        <w:tc>
          <w:tcPr>
            <w:tcW w:w="112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resnet18_cifar_gray</w:t>
            </w:r>
          </w:p>
        </w:tc>
        <w:tc>
          <w:tcPr>
            <w:tcW w:w="1135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thesis_cnniiii</w:t>
            </w:r>
          </w:p>
        </w:tc>
        <w:tc>
          <w:tcPr>
            <w:tcW w:w="983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2.87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[0.81, 4.93]</w:t>
            </w:r>
          </w:p>
        </w:tc>
        <w:tc>
          <w:tcPr>
            <w:tcW w:w="99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0.018</w:t>
            </w:r>
          </w:p>
        </w:tc>
        <w:tc>
          <w:tcPr>
            <w:tcW w:w="98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3.20</w:t>
            </w:r>
          </w:p>
        </w:tc>
        <w:tc>
          <w:tcPr>
            <w:tcW w:w="142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left higher on mean test accuracy</w:t>
            </w:r>
          </w:p>
        </w:tc>
      </w:tr>
      <w:tr>
        <w:trPr>
          <w:cantSplit/>
        </w:trPr>
        <w:tc>
          <w:tcPr>
            <w:tcW w:w="1623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modern classical upper bound vs current-local best</w:t>
            </w:r>
          </w:p>
        </w:tc>
        <w:tc>
          <w:tcPr>
            <w:tcW w:w="112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resnet18_cifar_gray</w:t>
            </w:r>
          </w:p>
        </w:tc>
        <w:tc>
          <w:tcPr>
            <w:tcW w:w="1135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classical_conv</w:t>
            </w:r>
          </w:p>
        </w:tc>
        <w:tc>
          <w:tcPr>
            <w:tcW w:w="983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6.73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[4.53, 8.93]</w:t>
            </w:r>
          </w:p>
        </w:tc>
        <w:tc>
          <w:tcPr>
            <w:tcW w:w="99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0.001</w:t>
            </w:r>
          </w:p>
        </w:tc>
        <w:tc>
          <w:tcPr>
            <w:tcW w:w="98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7.10</w:t>
            </w:r>
          </w:p>
        </w:tc>
        <w:tc>
          <w:tcPr>
            <w:tcW w:w="142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left higher on mean test accuracy</w:t>
            </w:r>
          </w:p>
        </w:tc>
      </w:tr>
    </w:tbl>
    <w:bookmarkEnd w:id="11"/>
    <w:bookmarkStart w:id="12" w:name="X5187b84f372050a03b9b8a62d6ca6cedbfbbe15"/>
    <w:p>
      <w:pPr>
        <w:pStyle w:val="Heading2"/>
        <w:keepNext/>
        <w:spacing w:before="160"/>
      </w:pPr>
      <w:r>
        <w:t xml:space="preserve">Low-Data Current-Local Pairwise Comparisons</w:t>
      </w:r>
    </w:p>
    <w:p>
      <w:pPr>
        <w:pStyle w:val="FirstParagraph"/>
      </w:pPr>
      <w:r>
        <w:t xml:space="preserve">Positive differences mean</w:t>
      </w:r>
      <w:r>
        <w:t xml:space="preserve"> </w:t>
      </w:r>
      <w:r>
        <w:rPr>
          <w:rStyle w:val="VerbatimChar"/>
        </w:rPr>
        <w:t xml:space="preserve">non_trainable_quantum</w:t>
      </w:r>
      <w:r>
        <w:t xml:space="preserve"> </w:t>
      </w:r>
      <w:r>
        <w:t xml:space="preserve">has higher mean test accuracy than</w:t>
      </w:r>
      <w:r>
        <w:t xml:space="preserve"> </w:t>
      </w:r>
      <w:r>
        <w:rPr>
          <w:rStyle w:val="VerbatimChar"/>
        </w:rPr>
        <w:t xml:space="preserve">classical_conv</w:t>
      </w:r>
      <w:r>
        <w:t xml:space="preserve">.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tblInd w:w="120" w:type="dxa"/>
        <w:tblBorders>
          <w:top w:val="single" w:sz="3" w:color="D7DEE8"/>
          <w:left w:val="single" w:sz="3" w:color="D7DEE8"/>
          <w:bottom w:val="single" w:sz="3" w:color="D7DEE8"/>
          <w:right w:val="single" w:sz="3" w:color="D7DEE8"/>
          <w:insideH w:val="single" w:sz="3" w:color="D7DEE8"/>
          <w:insideV w:val="single" w:sz="3" w:color="D7DEE8"/>
        </w:tblBorders>
      </w:tblPr>
      <w:tblGrid>
        <w:gridCol w:w="1034"/>
        <w:gridCol w:w="1248"/>
        <w:gridCol w:w="1060"/>
        <w:gridCol w:w="1213"/>
        <w:gridCol w:w="1051"/>
        <w:gridCol w:w="1090"/>
        <w:gridCol w:w="1042"/>
        <w:gridCol w:w="1622"/>
      </w:tblGrid>
      <w:tr>
        <w:trPr>
          <w:tblHeader w:val="on"/>
          <w:cantSplit/>
          <w:tblHeader w:val="true"/>
        </w:trPr>
        <w:tc>
          <w:tcPr>
            <w:tcW w:w="103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 xml:space="preserve">Fraction</w:t>
            </w:r>
          </w:p>
        </w:tc>
        <w:tc>
          <w:tcPr>
            <w:tcW w:w="1248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 xml:space="preserve">Seeds</w:t>
            </w:r>
          </w:p>
        </w:tc>
        <w:tc>
          <w:tcPr>
            <w:tcW w:w="10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 xml:space="preserve">Q-C Difference</w:t>
            </w:r>
          </w:p>
        </w:tc>
        <w:tc>
          <w:tcPr>
            <w:tcW w:w="1213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 xml:space="preserve">Paired 95% CI</w:t>
            </w:r>
          </w:p>
        </w:tc>
        <w:tc>
          <w:tcPr>
            <w:tcW w:w="105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 xml:space="preserve">Paired p</w:t>
            </w:r>
          </w:p>
        </w:tc>
        <w:tc>
          <w:tcPr>
            <w:tcW w:w="109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 xml:space="preserve">Exact sign-flip p</w:t>
            </w:r>
          </w:p>
        </w:tc>
        <w:tc>
          <w:tcPr>
            <w:tcW w:w="104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 xml:space="preserve">Holm p</w:t>
            </w:r>
          </w:p>
        </w:tc>
        <w:tc>
          <w:tcPr>
            <w:tcW w:w="162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 xml:space="preserve">Interpretation</w:t>
            </w:r>
          </w:p>
        </w:tc>
      </w:tr>
      <w:tr>
        <w:trPr>
          <w:cantSplit/>
        </w:trPr>
        <w:tc>
          <w:tcPr>
            <w:tcW w:w="103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0.10</w:t>
            </w:r>
          </w:p>
        </w:tc>
        <w:tc>
          <w:tcPr>
            <w:tcW w:w="1248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42,43,44,45,46,47</w:t>
            </w:r>
          </w:p>
        </w:tc>
        <w:tc>
          <w:tcPr>
            <w:tcW w:w="10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1.79</w:t>
            </w:r>
          </w:p>
        </w:tc>
        <w:tc>
          <w:tcPr>
            <w:tcW w:w="1213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[-2.93, 6.50]</w:t>
            </w:r>
          </w:p>
        </w:tc>
        <w:tc>
          <w:tcPr>
            <w:tcW w:w="105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0.375</w:t>
            </w:r>
          </w:p>
        </w:tc>
        <w:tc>
          <w:tcPr>
            <w:tcW w:w="109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0.375</w:t>
            </w:r>
          </w:p>
        </w:tc>
        <w:tc>
          <w:tcPr>
            <w:tcW w:w="104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1.000</w:t>
            </w:r>
          </w:p>
        </w:tc>
        <w:tc>
          <w:tcPr>
            <w:tcW w:w="162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quantum mean higher; CI crosses zero</w:t>
            </w:r>
          </w:p>
        </w:tc>
      </w:tr>
      <w:tr>
        <w:trPr>
          <w:cantSplit/>
        </w:trPr>
        <w:tc>
          <w:tcPr>
            <w:tcW w:w="103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0.25</w:t>
            </w:r>
          </w:p>
        </w:tc>
        <w:tc>
          <w:tcPr>
            <w:tcW w:w="1248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42,43,44,45,46,47</w:t>
            </w:r>
          </w:p>
        </w:tc>
        <w:tc>
          <w:tcPr>
            <w:tcW w:w="10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1.29</w:t>
            </w:r>
          </w:p>
        </w:tc>
        <w:tc>
          <w:tcPr>
            <w:tcW w:w="1213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[-1.88, 4.45]</w:t>
            </w:r>
          </w:p>
        </w:tc>
        <w:tc>
          <w:tcPr>
            <w:tcW w:w="105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0.344</w:t>
            </w:r>
          </w:p>
        </w:tc>
        <w:tc>
          <w:tcPr>
            <w:tcW w:w="109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0.438</w:t>
            </w:r>
          </w:p>
        </w:tc>
        <w:tc>
          <w:tcPr>
            <w:tcW w:w="104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1.000</w:t>
            </w:r>
          </w:p>
        </w:tc>
        <w:tc>
          <w:tcPr>
            <w:tcW w:w="162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quantum mean higher; CI crosses zero</w:t>
            </w:r>
          </w:p>
        </w:tc>
      </w:tr>
      <w:tr>
        <w:trPr>
          <w:cantSplit/>
        </w:trPr>
        <w:tc>
          <w:tcPr>
            <w:tcW w:w="103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0.50</w:t>
            </w:r>
          </w:p>
        </w:tc>
        <w:tc>
          <w:tcPr>
            <w:tcW w:w="1248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42,43,44,45,46,47</w:t>
            </w:r>
          </w:p>
        </w:tc>
        <w:tc>
          <w:tcPr>
            <w:tcW w:w="10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0.65</w:t>
            </w:r>
          </w:p>
        </w:tc>
        <w:tc>
          <w:tcPr>
            <w:tcW w:w="1213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[-1.43, 2.72]</w:t>
            </w:r>
          </w:p>
        </w:tc>
        <w:tc>
          <w:tcPr>
            <w:tcW w:w="105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0.461</w:t>
            </w:r>
          </w:p>
        </w:tc>
        <w:tc>
          <w:tcPr>
            <w:tcW w:w="109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0.469</w:t>
            </w:r>
          </w:p>
        </w:tc>
        <w:tc>
          <w:tcPr>
            <w:tcW w:w="104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1.000</w:t>
            </w:r>
          </w:p>
        </w:tc>
        <w:tc>
          <w:tcPr>
            <w:tcW w:w="162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quantum mean higher; CI crosses zero</w:t>
            </w:r>
          </w:p>
        </w:tc>
      </w:tr>
      <w:tr>
        <w:trPr>
          <w:cantSplit/>
        </w:trPr>
        <w:tc>
          <w:tcPr>
            <w:tcW w:w="103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1.00</w:t>
            </w:r>
          </w:p>
        </w:tc>
        <w:tc>
          <w:tcPr>
            <w:tcW w:w="1248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42,43,44,45,46,47</w:t>
            </w:r>
          </w:p>
        </w:tc>
        <w:tc>
          <w:tcPr>
            <w:tcW w:w="10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0.28</w:t>
            </w:r>
          </w:p>
        </w:tc>
        <w:tc>
          <w:tcPr>
            <w:tcW w:w="1213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[-0.44, 1.00]</w:t>
            </w:r>
          </w:p>
        </w:tc>
        <w:tc>
          <w:tcPr>
            <w:tcW w:w="105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0.359</w:t>
            </w:r>
          </w:p>
        </w:tc>
        <w:tc>
          <w:tcPr>
            <w:tcW w:w="109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0.406</w:t>
            </w:r>
          </w:p>
        </w:tc>
        <w:tc>
          <w:tcPr>
            <w:tcW w:w="104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1.000</w:t>
            </w:r>
          </w:p>
        </w:tc>
        <w:tc>
          <w:tcPr>
            <w:tcW w:w="162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quantum mean higher; CI crosses zero</w:t>
            </w:r>
          </w:p>
        </w:tc>
      </w:tr>
    </w:tbl>
    <w:bookmarkEnd w:id="12"/>
    <w:bookmarkStart w:id="13" w:name="manuscript-safe-interpretation"/>
    <w:p>
      <w:pPr>
        <w:pStyle w:val="Heading2"/>
        <w:keepNext/>
        <w:spacing w:before="160"/>
      </w:pPr>
      <w:r>
        <w:t xml:space="preserve">Manuscript-Safe Interpretation</w:t>
      </w:r>
    </w:p>
    <w:p>
      <w:pPr>
        <w:pStyle w:val="Compact"/>
        <w:numPr>
          <w:ilvl w:val="0"/>
          <w:numId w:val="1002"/>
        </w:numPr>
      </w:pPr>
      <w:r>
        <w:t xml:space="preserve">Full-data RQ1 remains classical-favored: the largest and most stable leads belong to</w:t>
      </w:r>
      <w:r>
        <w:t xml:space="preserve"> </w:t>
      </w:r>
      <w:r>
        <w:rPr>
          <w:rStyle w:val="VerbatimChar"/>
        </w:rPr>
        <w:t xml:space="preserve">resnet18_cifar_gray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thesis_cnniiii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Current-local full-data differences among</w:t>
      </w:r>
      <w:r>
        <w:t xml:space="preserve"> </w:t>
      </w:r>
      <w:r>
        <w:rPr>
          <w:rStyle w:val="VerbatimChar"/>
        </w:rPr>
        <w:t xml:space="preserve">classical_conv</w:t>
      </w:r>
      <w:r>
        <w:t xml:space="preserve">,</w:t>
      </w:r>
      <w:r>
        <w:t xml:space="preserve"> </w:t>
      </w:r>
      <w:r>
        <w:rPr>
          <w:rStyle w:val="VerbatimChar"/>
        </w:rPr>
        <w:t xml:space="preserve">param_linear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non_trainable_quantum</w:t>
      </w:r>
      <w:r>
        <w:t xml:space="preserve"> </w:t>
      </w:r>
      <w:r>
        <w:t xml:space="preserve">are small relative to the low</w:t>
      </w:r>
      <w:r>
        <w:t xml:space="preserve"> </w:t>
      </w:r>
      <w:r>
        <w:rPr>
          <w:rStyle w:val="VerbatimChar"/>
        </w:rPr>
        <w:t xml:space="preserve">n=3</w:t>
      </w:r>
      <w:r>
        <w:t xml:space="preserve"> </w:t>
      </w:r>
      <w:r>
        <w:t xml:space="preserve">uncertainty.</w:t>
      </w:r>
    </w:p>
    <w:p>
      <w:pPr>
        <w:pStyle w:val="Compact"/>
        <w:numPr>
          <w:ilvl w:val="0"/>
          <w:numId w:val="1002"/>
        </w:numPr>
      </w:pPr>
      <w:r>
        <w:t xml:space="preserve">The May 2026 low-data result supports only a narrow exploratory current-local signal: the largest mean gap is at 10%, but every paired 95% interval crosses zero.</w:t>
      </w:r>
    </w:p>
    <w:p>
      <w:pPr>
        <w:pStyle w:val="Compact"/>
        <w:numPr>
          <w:ilvl w:val="0"/>
          <w:numId w:val="1002"/>
        </w:numPr>
      </w:pPr>
      <w:r>
        <w:t xml:space="preserve">No row in this report supports a generic quantum-advantage claim.</w:t>
      </w:r>
    </w:p>
    <w:bookmarkEnd w:id="13"/>
    <w:bookmarkEnd w:id="14"/>
    <w:sectPr>
      <w:headerReference w:type="default" r:id="rId9"/>
      <w:footerReference w:type="default" r:id="rId10"/>
      <w:footnotePr>
        <w:numRestart w:val="eachSect"/>
      </w:footnotePr>
      <w:pgSz w:w="12240" w:h="15840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666666"/>
        <w:sz w:val="17"/>
      </w:rPr>
      <w:t xml:space="preserve">Page </w:t>
    </w:r>
    <w:r>
      <w:rPr>
        <w:rFonts w:ascii="Calibri" w:hAnsi="Calibri" w:eastAsia="Calibri"/>
        <w:color w:val="666666"/>
        <w:sz w:val="17"/>
      </w:rPr>
      <w:fldChar w:fldCharType="begin"/>
      <w:instrText xml:space="preserve"> PAGE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Calibri"/>
        <w:color w:val="666666"/>
        <w:sz w:val="17"/>
      </w:rPr>
      <w:t>Ottoman QML OCR | Statistical Evidence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120" w:line="300" w:lineRule="auto"/>
    </w:pPr>
    <w:rPr>
      <w:rFonts w:ascii="Calibri" w:hAnsi="Calibri"/>
      <w:b w:val="0"/>
      <w:color w:val="000000"/>
      <w:sz w:val="22"/>
    </w:rPr>
  </w:style>
  <w:style w:styleId="BodyText" w:type="paragraph">
    <w:name w:val="Body Text"/>
    <w:basedOn w:val="Normal"/>
    <w:link w:val="BodyTextChar"/>
    <w:qFormat/>
    <w:pPr>
      <w:spacing w:after="120" w:before="0" w:line="300" w:lineRule="auto"/>
    </w:pPr>
    <w:rPr>
      <w:rFonts w:ascii="Calibri" w:hAnsi="Calibri"/>
      <w:b w:val="0"/>
      <w:color w:val="000000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before="0" w:after="120" w:line="300" w:lineRule="auto"/>
    </w:pPr>
    <w:rPr>
      <w:rFonts w:ascii="Calibri" w:hAnsi="Calibri"/>
      <w:b w:val="0"/>
      <w:color w:val="000000"/>
      <w:sz w:val="22"/>
    </w:rPr>
  </w:style>
  <w:style w:customStyle="1" w:styleId="Compact" w:type="paragraph">
    <w:name w:val="Compact"/>
    <w:basedOn w:val="BodyText"/>
    <w:qFormat/>
    <w:pPr>
      <w:spacing w:after="80" w:before="0" w:line="300" w:lineRule="auto"/>
    </w:pPr>
    <w:rPr>
      <w:rFonts w:ascii="Calibri" w:hAnsi="Calibri"/>
      <w:b w:val="0"/>
      <w:color w:val="000000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00" w:before="360" w:line="240" w:lineRule="auto"/>
      <w:outlineLvl w:val="0"/>
    </w:pPr>
    <w:rPr>
      <w:rFonts w:asciiTheme="majorHAnsi" w:cstheme="majorBidi" w:eastAsiaTheme="majorEastAsia" w:hAnsiTheme="majorHAnsi" w:ascii="Calibri" w:hAnsi="Calibri"/>
      <w:b/>
      <w:color w:val="2E74B5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40" w:before="280" w:line="240" w:lineRule="auto"/>
      <w:outlineLvl w:val="1"/>
    </w:pPr>
    <w:rPr>
      <w:rFonts w:asciiTheme="majorHAnsi" w:cstheme="majorBidi" w:eastAsiaTheme="majorEastAsia" w:hAnsiTheme="majorHAnsi" w:ascii="Calibri" w:hAnsi="Calibri"/>
      <w:b/>
      <w:color w:val="2E74B5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00" w:line="240" w:lineRule="auto"/>
      <w:outlineLvl w:val="2"/>
    </w:pPr>
    <w:rPr>
      <w:rFonts w:cstheme="majorBidi" w:eastAsiaTheme="majorEastAsia" w:ascii="Calibri" w:hAnsi="Calibri"/>
      <w:b/>
      <w:color w:val="1F4D78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2026-08-09T15:02:00Z</dcterms:created>
  <dcterms:modified xsi:type="dcterms:W3CDTF">2026-08-09T15:02:00Z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