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ubmission-readiness-checklist"/>
    <w:p>
      <w:pPr>
        <w:pStyle w:val="Heading1"/>
        <w:keepNext/>
        <w:spacing w:before="0" w:after="280" w:line="240" w:lineRule="auto"/>
        <w:jc w:val="left"/>
      </w:pPr>
      <w:r>
        <w:rPr>
          <w:rFonts w:ascii="Calibri" w:hAnsi="Calibri" w:eastAsia="Calibri"/>
          <w:b/>
          <w:color w:val="0B2545"/>
          <w:sz w:val="46"/>
        </w:rPr>
        <w:t xml:space="preserve">Submission Readiness Checklist</w:t>
      </w:r>
    </w:p>
    <w:p>
      <w:pPr>
        <w:pStyle w:val="FirstParagraph"/>
        <w:spacing w:after="240"/>
      </w:pPr>
      <w:r>
        <w:rPr>
          <w:rFonts w:ascii="Calibri" w:hAnsi="Calibri" w:eastAsia="Calibri"/>
          <w:b/>
          <w:bCs/>
          <w:i/>
          <w:color w:val="666666"/>
          <w:sz w:val="20"/>
        </w:rPr>
        <w:t xml:space="preserve">Last reconciled: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August 9, 2026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b/>
          <w:bCs/>
          <w:i/>
          <w:color w:val="666666"/>
          <w:sz w:val="20"/>
        </w:rPr>
        <w:t xml:space="preserve">Verdict: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b/>
          <w:bCs/>
          <w:i/>
          <w:color w:val="666666"/>
          <w:sz w:val="20"/>
        </w:rPr>
        <w:t xml:space="preserve">Minor work required; advisor-review ready, not yet external-submission ready.</w:t>
      </w:r>
    </w:p>
    <w:p>
      <w:pPr>
        <w:pStyle w:val="BodyText"/>
      </w:pPr>
      <w:r>
        <w:t xml:space="preserve">The repository-side evidence, Drive reconciliation, class-aware metrics, and public-data provenance are ready for advisor review. External submission still requires first-author metadata, both authors' declaration/CRediT approval, one venue/template decision, and approval of the final submission file.</w:t>
      </w:r>
    </w:p>
    <w:bookmarkStart w:id="9" w:name="evidence-gates"/>
    <w:p>
      <w:pPr>
        <w:pStyle w:val="Heading2"/>
        <w:keepNext/>
      </w:pPr>
      <w:r>
        <w:t xml:space="preserve">Evidence Gates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3155"/>
        <w:gridCol w:w="1946"/>
        <w:gridCol w:w="4259"/>
      </w:tblGrid>
      <w:tr>
        <w:trPr>
          <w:tblHeader w:val="on"/>
          <w:cantSplit/>
          <w:tblHeader w:val="true"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Gate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Status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Evidence / limitation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Three-seed full-data benchmark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experiments/benchmark_summary.json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Full-data class-aware metrics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21 checkpoints;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experiments/classification_metrics_20260728.json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Low-data six-seed accuracy analysis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Qualified 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Byte-original rows; paired analysis; one-image parser drift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Low-data class-aware metrics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Qualified 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48 checkpoints;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experiments/low_data_classification_metrics_20260809.json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; exploratory only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Drive low-data provenance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Complete 56 JSON / 56 checkpoint grid;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experiments/drive_artifact_reconciliation_20260809.json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Trainable V7 evidence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Qualified 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Engineering case-study only; single runs and legacy protocol limitations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Paired/multiplicity-aware statistics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experiments/statistical_evidence_2026-05-17.json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Artifact byte manifest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experiments/submission_artifact_manifest_20260728.json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Exact local environment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requirements-publication-lock.txt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Exact April 2026 Colab environment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Not recoverable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Disclosed limitation; no rerun required for provenance hygiene</w:t>
            </w:r>
          </w:p>
        </w:tc>
      </w:tr>
      <w:tr>
        <w:trPr>
          <w:cantSplit/>
        </w:trPr>
        <w:tc>
          <w:tcPr>
            <w:tcW w:w="315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Dataset source/license/identity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</w:t>
            </w:r>
          </w:p>
        </w:tc>
        <w:tc>
          <w:tcPr>
            <w:tcW w:w="425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Public Kaggle source, license label “GPL 2,” 3,894/3,894 local images content-identical</w:t>
            </w:r>
          </w:p>
        </w:tc>
      </w:tr>
    </w:tbl>
    <w:bookmarkEnd w:id="9"/>
    <w:bookmarkStart w:id="10" w:name="claim-safety-gates"/>
    <w:p>
      <w:pPr>
        <w:pStyle w:val="Heading2"/>
        <w:keepNext/>
        <w:spacing w:before="160"/>
      </w:pPr>
      <w:r>
        <w:t xml:space="preserve">Claim Safety Gates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2657"/>
        <w:gridCol w:w="2421"/>
        <w:gridCol w:w="4282"/>
      </w:tblGrid>
      <w:tr>
        <w:trPr>
          <w:tblHeader w:val="on"/>
          <w:cantSplit/>
          <w:tblHeader w:val="true"/>
        </w:trPr>
        <w:tc>
          <w:tcPr>
            <w:tcW w:w="26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Claim</w:t>
            </w:r>
          </w:p>
        </w:tc>
        <w:tc>
          <w:tcPr>
            <w:tcW w:w="242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Status</w:t>
            </w:r>
          </w:p>
        </w:tc>
        <w:tc>
          <w:tcPr>
            <w:tcW w:w="42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Safe wording</w:t>
            </w:r>
          </w:p>
        </w:tc>
      </w:tr>
      <w:tr>
        <w:trPr>
          <w:cantSplit/>
        </w:trPr>
        <w:tc>
          <w:tcPr>
            <w:tcW w:w="26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Generic quantum advantage</w:t>
            </w:r>
          </w:p>
        </w:tc>
        <w:tc>
          <w:tcPr>
            <w:tcW w:w="242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Not supported</w:t>
            </w:r>
          </w:p>
        </w:tc>
        <w:tc>
          <w:tcPr>
            <w:tcW w:w="42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Do not claim it.</w:t>
            </w:r>
          </w:p>
        </w:tc>
      </w:tr>
      <w:tr>
        <w:trPr>
          <w:cantSplit/>
        </w:trPr>
        <w:tc>
          <w:tcPr>
            <w:tcW w:w="26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Full-data hierarchy</w:t>
            </w:r>
          </w:p>
        </w:tc>
        <w:tc>
          <w:tcPr>
            <w:tcW w:w="242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Supported</w:t>
            </w:r>
          </w:p>
        </w:tc>
        <w:tc>
          <w:tcPr>
            <w:tcW w:w="42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Strongest reproduced evidence favors classical baselines.</w:t>
            </w:r>
          </w:p>
        </w:tc>
      </w:tr>
      <w:tr>
        <w:trPr>
          <w:cantSplit/>
        </w:trPr>
        <w:tc>
          <w:tcPr>
            <w:tcW w:w="26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Class-aware hierarchy</w:t>
            </w:r>
          </w:p>
        </w:tc>
        <w:tc>
          <w:tcPr>
            <w:tcW w:w="242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Supported</w:t>
            </w:r>
          </w:p>
        </w:tc>
        <w:tc>
          <w:tcPr>
            <w:tcW w:w="42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ResNet-18 and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thesis_cnniiii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 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remain strongest; fixed quantum has a descriptive current-local macro-F1 pattern.</w:t>
            </w:r>
          </w:p>
        </w:tc>
      </w:tr>
      <w:tr>
        <w:trPr>
          <w:cantSplit/>
        </w:trPr>
        <w:tc>
          <w:tcPr>
            <w:tcW w:w="26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Low-data signal</w:t>
            </w:r>
          </w:p>
        </w:tc>
        <w:tc>
          <w:tcPr>
            <w:tcW w:w="242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Exploratory only</w:t>
            </w:r>
          </w:p>
        </w:tc>
        <w:tc>
          <w:tcPr>
            <w:tcW w:w="42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Quantum mean is higher at all fractions, but all paired CIs cross zero and Holm-adjusted p-values are 1.0.</w:t>
            </w:r>
          </w:p>
        </w:tc>
      </w:tr>
      <w:tr>
        <w:trPr>
          <w:cantSplit/>
        </w:trPr>
        <w:tc>
          <w:tcPr>
            <w:tcW w:w="26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V7 component causality</w:t>
            </w:r>
          </w:p>
        </w:tc>
        <w:tc>
          <w:tcPr>
            <w:tcW w:w="242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Not supported</w:t>
            </w:r>
          </w:p>
        </w:tc>
        <w:tc>
          <w:tcPr>
            <w:tcW w:w="42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 bundled V7 package is associated with restored trainability; no component attribution.</w:t>
            </w:r>
          </w:p>
        </w:tc>
      </w:tr>
      <w:tr>
        <w:trPr>
          <w:cantSplit/>
        </w:trPr>
        <w:tc>
          <w:tcPr>
            <w:tcW w:w="26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AMP mechanism</w:t>
            </w:r>
          </w:p>
        </w:tc>
        <w:tc>
          <w:tcPr>
            <w:tcW w:w="242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Partially supported</w:t>
            </w:r>
          </w:p>
        </w:tc>
        <w:tc>
          <w:tcPr>
            <w:tcW w:w="42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Float16 boundary and non-finite failure were observed; low-level adjoint mechanism was not isolated.</w:t>
            </w:r>
          </w:p>
        </w:tc>
      </w:tr>
      <w:tr>
        <w:trPr>
          <w:cantSplit/>
        </w:trPr>
        <w:tc>
          <w:tcPr>
            <w:tcW w:w="26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Hypothesis revision from thesis</w:t>
            </w:r>
          </w:p>
        </w:tc>
        <w:tc>
          <w:tcPr>
            <w:tcW w:w="242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Supported if chronology stays explicit</w:t>
            </w:r>
          </w:p>
        </w:tc>
        <w:tc>
          <w:tcPr>
            <w:tcW w:w="428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 2024 hypothesis was narrowed by later stronger controls; low-data is hypothesis-generating.</w:t>
            </w:r>
          </w:p>
        </w:tc>
      </w:tr>
    </w:tbl>
    <w:bookmarkEnd w:id="10"/>
    <w:bookmarkStart w:id="11" w:name="human-and-venue-gates"/>
    <w:p>
      <w:pPr>
        <w:pStyle w:val="Heading2"/>
        <w:keepNext/>
        <w:spacing w:before="160"/>
      </w:pPr>
      <w:r>
        <w:t xml:space="preserve">Human And Venue Gates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2636"/>
        <w:gridCol w:w="2109"/>
        <w:gridCol w:w="4615"/>
      </w:tblGrid>
      <w:tr>
        <w:trPr>
          <w:tblHeader w:val="on"/>
          <w:cantSplit/>
          <w:tblHeader w:val="true"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Gate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Status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Required action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Authors/order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Provisionally known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Necati Incekara, Erdem Bilgili; both authors must approve order and final manuscript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Erdem Bilgili affiliation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 for confirmation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Faculty of Engineering, Piri Reis University, Istanbul, Türkiye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First-author metadata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bCs/>
                <w:color w:val="0B2545"/>
                <w:sz w:val="18"/>
              </w:rPr>
              <w:t xml:space="preserve">Open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Affiliation, e-mail, ORCID and corresponding-author choice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Funding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Ready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“This research received no external funding.”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Competing interests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bCs/>
                <w:color w:val="0B2545"/>
                <w:sz w:val="18"/>
              </w:rPr>
              <w:t xml:space="preserve">Open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Both authors confirm “none” or provide exact disclosure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CRediT contributions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bCs/>
                <w:color w:val="0B2545"/>
                <w:sz w:val="18"/>
              </w:rPr>
              <w:t xml:space="preserve">Open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Both authors approve the proposed role allocation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Ethics wording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Qualified open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Secondary analysis of public isolated-character data; adapt to chosen venue's form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Venue/template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bCs/>
                <w:color w:val="0B2545"/>
                <w:sz w:val="18"/>
              </w:rPr>
              <w:t xml:space="preserve">Open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Author selects one venue; advisor need not make this operational choice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All-author approval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bCs/>
                <w:color w:val="0B2545"/>
                <w:sz w:val="18"/>
              </w:rPr>
              <w:t xml:space="preserve">Open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Obtain written approval of the final PDF/source before submission</w:t>
            </w:r>
          </w:p>
        </w:tc>
      </w:tr>
      <w:tr>
        <w:trPr>
          <w:cantSplit/>
        </w:trPr>
        <w:tc>
          <w:tcPr>
            <w:tcW w:w="263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Versioned public release</w:t>
            </w:r>
          </w:p>
        </w:tc>
        <w:tc>
          <w:tcPr>
            <w:tcW w:w="210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Submission-stage</w:t>
            </w:r>
          </w:p>
        </w:tc>
        <w:tc>
          <w:tcPr>
            <w:tcW w:w="4615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Create immutable release/archive only after the paper and share scope are final</w:t>
            </w:r>
          </w:p>
        </w:tc>
      </w:tr>
    </w:tbl>
    <w:bookmarkEnd w:id="11"/>
    <w:bookmarkStart w:id="12" w:name="scientific-decision"/>
    <w:p>
      <w:pPr>
        <w:pStyle w:val="Heading2"/>
        <w:keepNext/>
        <w:spacing w:before="160"/>
      </w:pPr>
      <w:r>
        <w:t xml:space="preserve">Scientific Decision</w:t>
      </w:r>
    </w:p>
    <w:p>
      <w:pPr>
        <w:pStyle w:val="Compact"/>
        <w:numPr>
          <w:ilvl w:val="0"/>
          <w:numId w:val="1001"/>
        </w:numPr>
      </w:pPr>
      <w:r>
        <w:t xml:space="preserve">Do not delay advisor review for a new quantum architecture or a V7 hyperparameter sweep.</w:t>
      </w:r>
    </w:p>
    <w:p>
      <w:pPr>
        <w:pStyle w:val="Compact"/>
        <w:numPr>
          <w:ilvl w:val="0"/>
          <w:numId w:val="1001"/>
        </w:numPr>
      </w:pPr>
      <w:r>
        <w:t xml:space="preserve">The optional low-cost addition is the existing</w:t>
      </w:r>
      <w:r>
        <w:t xml:space="preserve"> </w:t>
      </w:r>
      <w:r>
        <w:rPr>
          <w:rStyle w:val="VerbatimChar"/>
        </w:rPr>
        <w:t xml:space="preserve">param_linear</w:t>
      </w:r>
      <w:r>
        <w:t xml:space="preserve"> </w:t>
      </w:r>
      <w:r>
        <w:t xml:space="preserve">control on the six-seed low-data grid. It is scientifically useful but not a current submission blocker.</w:t>
      </w:r>
    </w:p>
    <w:p>
      <w:pPr>
        <w:pStyle w:val="Compact"/>
        <w:numPr>
          <w:ilvl w:val="0"/>
          <w:numId w:val="1001"/>
        </w:numPr>
      </w:pPr>
      <w:r>
        <w:t xml:space="preserve">If a target venue explicitly demands trainable-quantum novelty, use a pre-specified V7-Lite design with a matched classical replacement; do not perform open-ended search.</w:t>
      </w:r>
    </w:p>
    <w:bookmarkEnd w:id="12"/>
    <w:bookmarkStart w:id="13" w:name="final-verification-commands"/>
    <w:p>
      <w:pPr>
        <w:pStyle w:val="Heading2"/>
        <w:keepNext/>
      </w:pPr>
      <w:r>
        <w:t xml:space="preserve">Final Verification Commands</w:t>
      </w:r>
    </w:p>
    <w:p>
      <w:pPr>
        <w:pStyle w:val="SourceCode"/>
        <w:keepLines/>
        <w:spacing w:line="240" w:lineRule="auto" w:before="0" w:after="0"/>
        <w:jc w:val="left"/>
      </w:pP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git diff --check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venv/bin/python -m py_compile \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  src/dataset.py src/enhanced_training.py src/trainable_quantum_model.py train_v7.py \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  scripts/aggregate_low_data.py scripts/statistical_evidence.py \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  scripts/evaluate_classification_metrics.py \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  scripts/evaluate_low_data_classification_metrics.py \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  scripts/reconcile_drive_artifacts.py scripts/build_submission_manifest.py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venv/bin/python scripts/reconcile_drive_artifacts.py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venv/bin/python scripts/aggregate_benchmarks.py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venv/bin/python scripts/aggregate_low_data.py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venv/bin/python scripts/statistical_evidence.py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venv/bin/python scripts/evaluate_classification_metrics.py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venv/bin/python scripts/evaluate_low_data_classification_metrics.py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venv/bin/python scripts/build_submission_manifest.py</w:t>
      </w:r>
      <w:r>
        <w:rPr>
          <w:rFonts w:ascii="Courier New" w:hAnsi="Courier New" w:eastAsia="Courier New"/>
          <w:color w:val="0B2545"/>
          <w:sz w:val="17"/>
        </w:rPr>
        <w:br/>
      </w:r>
      <w:r>
        <w:rPr>
          <w:rStyle w:val="VerbatimChar"/>
          <w:rFonts w:ascii="Courier New" w:hAnsi="Courier New" w:eastAsia="Courier New"/>
          <w:color w:val="0B2545"/>
          <w:sz w:val="17"/>
        </w:rPr>
        <w:t xml:space="preserve">./scripts/export_docx.sh paper/draft.md</w:t>
      </w:r>
    </w:p>
    <w:p>
      <w:pPr>
        <w:pStyle w:val="FirstParagraph"/>
      </w:pPr>
      <w:r>
        <w:t xml:space="preserve">Expected outcome:</w:t>
      </w:r>
    </w:p>
    <w:p>
      <w:pPr>
        <w:pStyle w:val="Compact"/>
        <w:numPr>
          <w:ilvl w:val="0"/>
          <w:numId w:val="1002"/>
        </w:numPr>
      </w:pPr>
      <w:r>
        <w:t xml:space="preserve">full-data aggregate remains unchanged;</w:t>
      </w:r>
    </w:p>
    <w:p>
      <w:pPr>
        <w:pStyle w:val="Compact"/>
        <w:numPr>
          <w:ilvl w:val="0"/>
          <w:numId w:val="1002"/>
        </w:numPr>
      </w:pPr>
      <w:r>
        <w:t xml:space="preserve">low-data aggregate contains six current-local seeds and reports train-size ranges;</w:t>
      </w:r>
    </w:p>
    <w:p>
      <w:pPr>
        <w:pStyle w:val="Compact"/>
        <w:numPr>
          <w:ilvl w:val="0"/>
          <w:numId w:val="1002"/>
        </w:numPr>
      </w:pPr>
      <w:r>
        <w:t xml:space="preserve">every paired low-data confidence interval crosses zero;</w:t>
      </w:r>
    </w:p>
    <w:p>
      <w:pPr>
        <w:pStyle w:val="Compact"/>
        <w:numPr>
          <w:ilvl w:val="0"/>
          <w:numId w:val="1002"/>
        </w:numPr>
      </w:pPr>
      <w:r>
        <w:t xml:space="preserve">all 21 full-data and 48 current-local low-data checkpoint inferences reproduce source top-1 rows;</w:t>
      </w:r>
    </w:p>
    <w:p>
      <w:pPr>
        <w:pStyle w:val="Compact"/>
        <w:numPr>
          <w:ilvl w:val="0"/>
          <w:numId w:val="1002"/>
        </w:numPr>
      </w:pPr>
      <w:r>
        <w:t xml:space="preserve">manifests record canonical evidence and the dataset snapshot;</w:t>
      </w:r>
    </w:p>
    <w:p>
      <w:pPr>
        <w:pStyle w:val="Compact"/>
        <w:numPr>
          <w:ilvl w:val="0"/>
          <w:numId w:val="1002"/>
        </w:numPr>
      </w:pPr>
      <w:r>
        <w:t xml:space="preserve">exported Word documents contain no clipped figures or tables.</w:t>
      </w:r>
    </w:p>
    <w:bookmarkEnd w:id="13"/>
    <w:bookmarkStart w:id="14" w:name="submission-day-stop-conditions"/>
    <w:p>
      <w:pPr>
        <w:pStyle w:val="Heading2"/>
        <w:keepNext/>
      </w:pPr>
      <w:r>
        <w:t xml:space="preserve">Submission-Day Stop Conditions</w:t>
      </w:r>
    </w:p>
    <w:p>
      <w:pPr>
        <w:pStyle w:val="FirstParagraph"/>
      </w:pPr>
      <w:r>
        <w:t xml:space="preserve">Do not submit if any of the following remains true:</w:t>
      </w:r>
    </w:p>
    <w:p>
      <w:pPr>
        <w:pStyle w:val="Compact"/>
        <w:numPr>
          <w:ilvl w:val="0"/>
          <w:numId w:val="1003"/>
        </w:numPr>
      </w:pPr>
      <w:r>
        <w:t xml:space="preserve">first-author affiliation/contact or corresponding author is unresolved;</w:t>
      </w:r>
    </w:p>
    <w:p>
      <w:pPr>
        <w:pStyle w:val="Compact"/>
        <w:numPr>
          <w:ilvl w:val="0"/>
          <w:numId w:val="1003"/>
        </w:numPr>
      </w:pPr>
      <w:r>
        <w:t xml:space="preserve">any author has not approved order, CRediT roles, COI declaration, and the final manuscript;</w:t>
      </w:r>
    </w:p>
    <w:p>
      <w:pPr>
        <w:pStyle w:val="Compact"/>
        <w:numPr>
          <w:ilvl w:val="0"/>
          <w:numId w:val="1003"/>
        </w:numPr>
      </w:pPr>
      <w:r>
        <w:t xml:space="preserve">the chosen venue's current template and declarations are not applied;</w:t>
      </w:r>
    </w:p>
    <w:p>
      <w:pPr>
        <w:pStyle w:val="Compact"/>
        <w:numPr>
          <w:ilvl w:val="0"/>
          <w:numId w:val="1003"/>
        </w:numPr>
      </w:pPr>
      <w:r>
        <w:t xml:space="preserve">the manuscript says “quantum advantage,” “confirmed low-data advantage,” or claims a causal V7 component effect;</w:t>
      </w:r>
    </w:p>
    <w:p>
      <w:pPr>
        <w:pStyle w:val="Compact"/>
        <w:numPr>
          <w:ilvl w:val="0"/>
          <w:numId w:val="1003"/>
        </w:numPr>
      </w:pPr>
      <w:r>
        <w:t xml:space="preserve">reconstructed V7 JSON is described as byte-original;</w:t>
      </w:r>
    </w:p>
    <w:p>
      <w:pPr>
        <w:pStyle w:val="Compact"/>
        <w:numPr>
          <w:ilvl w:val="0"/>
          <w:numId w:val="1003"/>
        </w:numPr>
      </w:pPr>
      <w:r>
        <w:t xml:space="preserve">the same full manuscript is under review at another archival venue.</w:t>
      </w:r>
    </w:p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r>
      <w:rPr>
        <w:rFonts w:ascii="Calibri" w:hAnsi="Calibri" w:eastAsia="Calibri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Ottoman QML OCR | Submission Readiness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Calibri" w:hAnsi="Calibri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300" w:lineRule="auto"/>
    </w:pPr>
    <w:rPr>
      <w:rFonts w:ascii="Calibri" w:hAnsi="Calibri"/>
      <w:b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240" w:lineRule="auto"/>
      <w:outlineLvl w:val="1"/>
    </w:pPr>
    <w:rPr>
      <w:rFonts w:asciiTheme="majorHAnsi" w:cstheme="majorBidi" w:eastAsiaTheme="majorEastAsia" w:hAnsiTheme="majorHAnsi" w:ascii="Calibri" w:hAnsi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2"/>
    </w:pPr>
    <w:rPr>
      <w:rFonts w:cstheme="majorBidi" w:eastAsiaTheme="majorEastAsia" w:ascii="Calibri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2026-08-09T15:06:20Z</dcterms:created>
  <dcterms:modified xsi:type="dcterms:W3CDTF">2026-08-09T15:06:20Z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