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smd"/>
    <w:p>
      <w:pPr>
        <w:pStyle w:val="Heading1"/>
      </w:pPr>
      <w:r>
        <w:t xml:space="preserve">AGENTS.md</w:t>
      </w:r>
    </w:p>
    <w:p>
      <w:pPr>
        <w:pStyle w:val="FirstParagraph"/>
      </w:pPr>
      <w:r>
        <w:t xml:space="preserve">Repository instructions for Codex working in this study.</w:t>
      </w:r>
    </w:p>
    <w:bookmarkStart w:id="9" w:name="project-reality"/>
    <w:p>
      <w:pPr>
        <w:pStyle w:val="Heading2"/>
      </w:pPr>
      <w:r>
        <w:t xml:space="preserve">Project Reality</w:t>
      </w:r>
    </w:p>
    <w:p>
      <w:pPr>
        <w:pStyle w:val="FirstParagraph"/>
      </w:pPr>
      <w:r>
        <w:t xml:space="preserve">This repository tracks a hybrid quantum-classical OCR study for Ottoman-Turkish handwritten character recognition. It contains both historical planning material and newer experimental artifacts. Do not assume the oldest narrative docs are still correct.</w:t>
      </w:r>
    </w:p>
    <w:p>
      <w:pPr>
        <w:pStyle w:val="BodyText"/>
      </w:pPr>
      <w:r>
        <w:t xml:space="preserve">As of April 5, 2026: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src/model.py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 </w:t>
      </w:r>
      <w:r>
        <w:t xml:space="preserve">are the older V4/V6 baseline path.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src/trainable_quantum_model.py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src/enhanced_training.py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train_v7.py</w:t>
      </w:r>
      <w:r>
        <w:t xml:space="preserve"> </w:t>
      </w:r>
      <w:r>
        <w:t xml:space="preserve">are the newer stabilized trainable-quantum path.</w:t>
      </w:r>
    </w:p>
    <w:p>
      <w:pPr>
        <w:pStyle w:val="Compact"/>
        <w:numPr>
          <w:ilvl w:val="0"/>
          <w:numId w:val="1001"/>
        </w:numPr>
      </w:pPr>
      <w:r>
        <w:t xml:space="preserve">Local ablation artifacts currently outperform the documented V7 result on test accuracy.</w:t>
      </w:r>
    </w:p>
    <w:p>
      <w:pPr>
        <w:pStyle w:val="Compact"/>
        <w:numPr>
          <w:ilvl w:val="0"/>
          <w:numId w:val="1001"/>
        </w:numPr>
      </w:pPr>
      <w:r>
        <w:t xml:space="preserve">Several human-written docs still describe V4 as the current best model. Treat that as historical unless re-verified.</w:t>
      </w:r>
    </w:p>
    <w:bookmarkEnd w:id="9"/>
    <w:bookmarkStart w:id="10" w:name="source-of-truth-order"/>
    <w:p>
      <w:pPr>
        <w:pStyle w:val="Heading2"/>
      </w:pPr>
      <w:r>
        <w:t xml:space="preserve">Source Of Truth Order</w:t>
      </w:r>
    </w:p>
    <w:p>
      <w:pPr>
        <w:pStyle w:val="FirstParagraph"/>
      </w:pPr>
      <w:r>
        <w:t xml:space="preserve">When results disagree, use this priority order: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experiments/*.json</w:t>
      </w:r>
      <w:r>
        <w:t xml:space="preserve">, saved checkpoints under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and notebook outputs with captured metrics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docs/EXPERIMENTS.md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paper/draft.md</w:t>
      </w:r>
    </w:p>
    <w:p>
      <w:pPr>
        <w:pStyle w:val="Compact"/>
        <w:numPr>
          <w:ilvl w:val="0"/>
          <w:numId w:val="1002"/>
        </w:numPr>
      </w:pPr>
      <w:r>
        <w:t xml:space="preserve">Current code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training entrypoints</w:t>
      </w:r>
    </w:p>
    <w:p>
      <w:pPr>
        <w:pStyle w:val="Compact"/>
        <w:numPr>
          <w:ilvl w:val="0"/>
          <w:numId w:val="1002"/>
        </w:numPr>
      </w:pPr>
      <w:r>
        <w:t xml:space="preserve">Historical planning docs such as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docs/AUDIT_REPORT.md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docs/IMPLEMENTATION_GUIDE.md</w:t>
      </w:r>
    </w:p>
    <w:bookmarkEnd w:id="10"/>
    <w:bookmarkStart w:id="11" w:name="current-known-study-status"/>
    <w:p>
      <w:pPr>
        <w:pStyle w:val="Heading2"/>
      </w:pPr>
      <w:r>
        <w:t xml:space="preserve">Current Known Study Status</w:t>
      </w:r>
    </w:p>
    <w:p>
      <w:pPr>
        <w:pStyle w:val="Compact"/>
        <w:numPr>
          <w:ilvl w:val="0"/>
          <w:numId w:val="1003"/>
        </w:numPr>
      </w:pPr>
      <w:r>
        <w:t xml:space="preserve">Documented stabilized V7 result: about</w:t>
      </w:r>
      <w:r>
        <w:t xml:space="preserve"> </w:t>
      </w:r>
      <w:r>
        <w:rPr>
          <w:rStyle w:val="VerbatimChar"/>
        </w:rPr>
        <w:t xml:space="preserve">67.35%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65.02%</w:t>
      </w:r>
      <w:r>
        <w:t xml:space="preserve"> </w:t>
      </w:r>
      <w:r>
        <w:t xml:space="preserve">test accuracy in repo docs/notebook outputs.</w:t>
      </w:r>
    </w:p>
    <w:p>
      <w:pPr>
        <w:pStyle w:val="Compact"/>
        <w:numPr>
          <w:ilvl w:val="0"/>
          <w:numId w:val="1003"/>
        </w:numPr>
      </w:pPr>
      <w:r>
        <w:t xml:space="preserve">Multi-seed benchmark status now exists for all M4-feasible thesis-faithful and current-local core models: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thesis_cnniiii</w:t>
      </w:r>
      <w:r>
        <w:t xml:space="preserve">:</w:t>
      </w:r>
      <w:r>
        <w:t xml:space="preserve"> </w:t>
      </w:r>
      <w:r>
        <w:rPr>
          <w:rStyle w:val="VerbatimChar"/>
        </w:rPr>
        <w:t xml:space="preserve">85.26 ± 0.97</w:t>
      </w:r>
      <w:r>
        <w:t xml:space="preserve"> </w:t>
      </w:r>
      <w:r>
        <w:t xml:space="preserve">test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classical_conv</w:t>
      </w:r>
      <w:r>
        <w:t xml:space="preserve">:</w:t>
      </w:r>
      <w:r>
        <w:t xml:space="preserve"> </w:t>
      </w:r>
      <w:r>
        <w:rPr>
          <w:rStyle w:val="VerbatimChar"/>
        </w:rPr>
        <w:t xml:space="preserve">81.40 ± 1.06</w:t>
      </w:r>
      <w:r>
        <w:t xml:space="preserve"> </w:t>
      </w:r>
      <w:r>
        <w:t xml:space="preserve">test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param_linear</w:t>
      </w:r>
      <w:r>
        <w:t xml:space="preserve">:</w:t>
      </w:r>
      <w:r>
        <w:t xml:space="preserve"> </w:t>
      </w:r>
      <w:r>
        <w:rPr>
          <w:rStyle w:val="VerbatimChar"/>
        </w:rPr>
        <w:t xml:space="preserve">81.12 ± 2.27</w:t>
      </w:r>
      <w:r>
        <w:t xml:space="preserve"> </w:t>
      </w:r>
      <w:r>
        <w:t xml:space="preserve">test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non_trainable_quantum</w:t>
      </w:r>
      <w:r>
        <w:t xml:space="preserve">:</w:t>
      </w:r>
      <w:r>
        <w:t xml:space="preserve"> </w:t>
      </w:r>
      <w:r>
        <w:rPr>
          <w:rStyle w:val="VerbatimChar"/>
        </w:rPr>
        <w:t xml:space="preserve">80.40 ± 0.69</w:t>
      </w:r>
      <w:r>
        <w:t xml:space="preserve"> </w:t>
      </w:r>
      <w:r>
        <w:t xml:space="preserve">test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thesis_cnn3</w:t>
      </w:r>
      <w:r>
        <w:t xml:space="preserve">:</w:t>
      </w:r>
      <w:r>
        <w:t xml:space="preserve"> </w:t>
      </w:r>
      <w:r>
        <w:rPr>
          <w:rStyle w:val="VerbatimChar"/>
        </w:rPr>
        <w:t xml:space="preserve">79.33 ± 1.26</w:t>
      </w:r>
      <w:r>
        <w:t xml:space="preserve"> </w:t>
      </w:r>
      <w:r>
        <w:t xml:space="preserve">test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thesis_hqnn2</w:t>
      </w:r>
      <w:r>
        <w:t xml:space="preserve">:</w:t>
      </w:r>
      <w:r>
        <w:t xml:space="preserve"> </w:t>
      </w:r>
      <w:r>
        <w:rPr>
          <w:rStyle w:val="VerbatimChar"/>
        </w:rPr>
        <w:t xml:space="preserve">78.61 ± 0.69</w:t>
      </w:r>
      <w:r>
        <w:t xml:space="preserve"> </w:t>
      </w:r>
      <w:r>
        <w:t xml:space="preserve">test</w:t>
      </w:r>
    </w:p>
    <w:p>
      <w:pPr>
        <w:pStyle w:val="Compact"/>
        <w:numPr>
          <w:ilvl w:val="0"/>
          <w:numId w:val="1003"/>
        </w:numPr>
      </w:pPr>
      <w:r>
        <w:t xml:space="preserve">Therefore, the current repo evidence supports a stronger "fair benchmark + hybrid QML engineering and stabilization" story than a clean "quantum advantage" story.</w:t>
      </w:r>
    </w:p>
    <w:p>
      <w:pPr>
        <w:pStyle w:val="Compact"/>
        <w:numPr>
          <w:ilvl w:val="0"/>
          <w:numId w:val="1003"/>
        </w:numPr>
      </w:pPr>
      <w:r>
        <w:t xml:space="preserve">The main unresolved benchmark item is a fresh artifact-backed rerun for the trainable V7 path, likely on Colab rather than local Mac hardware.</w:t>
      </w:r>
    </w:p>
    <w:p>
      <w:pPr>
        <w:pStyle w:val="Compact"/>
        <w:numPr>
          <w:ilvl w:val="0"/>
          <w:numId w:val="1003"/>
        </w:numPr>
      </w:pPr>
      <w:r>
        <w:t xml:space="preserve">The repo now includes nested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repo-local hooks, repo-local shell rules, and a broader Codex workflow layer for audit, triage, roadmap, and artifact-pack work.</w:t>
      </w:r>
    </w:p>
    <w:bookmarkEnd w:id="11"/>
    <w:bookmarkStart w:id="12" w:name="important-repo-caveats"/>
    <w:p>
      <w:pPr>
        <w:pStyle w:val="Heading2"/>
      </w:pPr>
      <w:r>
        <w:t xml:space="preserve">Important Repo Caveats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docs/AUDIT_REPORT.md</w:t>
      </w:r>
      <w:r>
        <w:t xml:space="preserve"> </w:t>
      </w:r>
      <w:r>
        <w:t xml:space="preserve">are partially stale relative to post-November 2025 results.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experiments/run_experiments.py</w:t>
      </w:r>
      <w:r>
        <w:t xml:space="preserve"> </w:t>
      </w:r>
      <w:r>
        <w:t xml:space="preserve">is stale relative to the current</w:t>
      </w:r>
      <w:r>
        <w:t xml:space="preserve"> </w:t>
      </w:r>
      <w:r>
        <w:rPr>
          <w:rStyle w:val="VerbatimChar"/>
        </w:rPr>
        <w:t xml:space="preserve">EnhancedTrainer</w:t>
      </w:r>
      <w:r>
        <w:t xml:space="preserve"> </w:t>
      </w:r>
      <w:r>
        <w:t xml:space="preserve">API.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train_v7.py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, but the current enhanced training path does not thread that value through.</w:t>
      </w:r>
    </w:p>
    <w:p>
      <w:pPr>
        <w:pStyle w:val="Compact"/>
        <w:numPr>
          <w:ilvl w:val="0"/>
          <w:numId w:val="1005"/>
        </w:numPr>
      </w:pPr>
      <w:r>
        <w:t xml:space="preserve">The dataset loader skips malformed filenames with unknown label codes. One known file in</w:t>
      </w:r>
      <w:r>
        <w:t xml:space="preserve"> </w:t>
      </w:r>
      <w:r>
        <w:rPr>
          <w:rStyle w:val="VerbatimChar"/>
        </w:rPr>
        <w:t xml:space="preserve">set/train</w:t>
      </w:r>
      <w:r>
        <w:t xml:space="preserve"> </w:t>
      </w:r>
      <w:r>
        <w:t xml:space="preserve">resolves to label code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and is ignored.</w:t>
      </w:r>
    </w:p>
    <w:p>
      <w:pPr>
        <w:pStyle w:val="Compact"/>
        <w:numPr>
          <w:ilvl w:val="0"/>
          <w:numId w:val="1005"/>
        </w:numPr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.claude/*</w:t>
      </w:r>
      <w:r>
        <w:t xml:space="preserve"> </w:t>
      </w:r>
      <w:r>
        <w:t xml:space="preserve">files. Codex integration in this repo is additive, not a replacement for Claude workflows.</w:t>
      </w:r>
    </w:p>
    <w:bookmarkEnd w:id="12"/>
    <w:bookmarkStart w:id="13" w:name="preferred-working-style-in-this-repo"/>
    <w:p>
      <w:pPr>
        <w:pStyle w:val="Heading2"/>
      </w:pPr>
      <w:r>
        <w:t xml:space="preserve">Preferred Working Style In This Repo</w:t>
      </w:r>
    </w:p>
    <w:p>
      <w:pPr>
        <w:pStyle w:val="Compact"/>
        <w:numPr>
          <w:ilvl w:val="0"/>
          <w:numId w:val="1006"/>
        </w:numPr>
      </w:pPr>
      <w:r>
        <w:t xml:space="preserve">Reconcile artifacts before writing status reports, paper text, or README updates.</w:t>
      </w:r>
    </w:p>
    <w:p>
      <w:pPr>
        <w:pStyle w:val="Compact"/>
        <w:numPr>
          <w:ilvl w:val="0"/>
          <w:numId w:val="1006"/>
        </w:numPr>
      </w:pPr>
      <w:r>
        <w:t xml:space="preserve">Treat command rules, hooks, and AGENTS instructions as different layers: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and nested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 define repo behavior</w:t>
      </w:r>
    </w:p>
    <w:p>
      <w:pPr>
        <w:pStyle w:val="Compact"/>
        <w:numPr>
          <w:ilvl w:val="1"/>
          <w:numId w:val="1007"/>
        </w:numPr>
      </w:pPr>
      <w:r>
        <w:t xml:space="preserve">hooks add lightweight runtime reminders and context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codex/rules/*.rules</w:t>
      </w:r>
      <w:r>
        <w:t xml:space="preserve"> </w:t>
      </w:r>
      <w:r>
        <w:t xml:space="preserve">are command-approval guardrails, not writing-policy logic</w:t>
      </w:r>
    </w:p>
    <w:p>
      <w:pPr>
        <w:pStyle w:val="Compact"/>
        <w:numPr>
          <w:ilvl w:val="0"/>
          <w:numId w:val="1006"/>
        </w:numPr>
      </w:pPr>
      <w:r>
        <w:t xml:space="preserve">For architecture work, inspect both the base path and the trainable-quantum path before proposing changes.</w:t>
      </w:r>
    </w:p>
    <w:p>
      <w:pPr>
        <w:pStyle w:val="Compact"/>
        <w:numPr>
          <w:ilvl w:val="0"/>
          <w:numId w:val="1006"/>
        </w:numPr>
      </w:pPr>
      <w:r>
        <w:t xml:space="preserve">For scientific summaries, use exact dates and exact metric sources.</w:t>
      </w:r>
    </w:p>
    <w:p>
      <w:pPr>
        <w:pStyle w:val="Compact"/>
        <w:numPr>
          <w:ilvl w:val="0"/>
          <w:numId w:val="1006"/>
        </w:numPr>
      </w:pPr>
      <w:r>
        <w:t xml:space="preserve">For current-vs-historical comparisons, explicitly label which claims are current and which are legacy.</w:t>
      </w:r>
    </w:p>
    <w:p>
      <w:pPr>
        <w:pStyle w:val="Compact"/>
        <w:numPr>
          <w:ilvl w:val="0"/>
          <w:numId w:val="1006"/>
        </w:numPr>
      </w:pPr>
      <w:r>
        <w:t xml:space="preserve">For web research about Codex, OpenAI, Claude Code, or other live tooling, verify against official docs before making claims.</w:t>
      </w:r>
    </w:p>
    <w:bookmarkEnd w:id="13"/>
    <w:bookmarkStart w:id="14" w:name="high-value-files"/>
    <w:p>
      <w:pPr>
        <w:pStyle w:val="Heading2"/>
      </w:pPr>
      <w:r>
        <w:t xml:space="preserve">High-Value Files</w:t>
      </w:r>
    </w:p>
    <w:p>
      <w:pPr>
        <w:pStyle w:val="Compact"/>
        <w:numPr>
          <w:ilvl w:val="0"/>
          <w:numId w:val="1008"/>
        </w:numPr>
      </w:pPr>
      <w:r>
        <w:t xml:space="preserve">Core models:</w:t>
      </w:r>
      <w:r>
        <w:t xml:space="preserve"> </w:t>
      </w:r>
      <w:r>
        <w:rPr>
          <w:rStyle w:val="VerbatimChar"/>
        </w:rPr>
        <w:t xml:space="preserve">src/model.py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src/trainable_quantum_model.py</w:t>
      </w:r>
    </w:p>
    <w:p>
      <w:pPr>
        <w:pStyle w:val="Compact"/>
        <w:numPr>
          <w:ilvl w:val="0"/>
          <w:numId w:val="1008"/>
        </w:numPr>
      </w:pPr>
      <w:r>
        <w:t xml:space="preserve">Training: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src/enhanced_training.py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train_v7.py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train_ablation_local.py</w:t>
      </w:r>
    </w:p>
    <w:p>
      <w:pPr>
        <w:pStyle w:val="Compact"/>
        <w:numPr>
          <w:ilvl w:val="0"/>
          <w:numId w:val="1008"/>
        </w:numPr>
      </w:pPr>
      <w:r>
        <w:t xml:space="preserve">Publication benchmark training:</w:t>
      </w:r>
      <w:r>
        <w:t xml:space="preserve"> </w:t>
      </w:r>
      <w:r>
        <w:rPr>
          <w:rStyle w:val="VerbatimChar"/>
        </w:rPr>
        <w:t xml:space="preserve">train_thesis_models.py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src/thesis_models.py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src/benchmark_protocol.py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src/benchmark_training.py</w:t>
      </w:r>
    </w:p>
    <w:p>
      <w:pPr>
        <w:pStyle w:val="Compact"/>
        <w:numPr>
          <w:ilvl w:val="0"/>
          <w:numId w:val="1008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src/dataset.py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src/config.py</w:t>
      </w:r>
    </w:p>
    <w:p>
      <w:pPr>
        <w:pStyle w:val="Compact"/>
        <w:numPr>
          <w:ilvl w:val="0"/>
          <w:numId w:val="1008"/>
        </w:numPr>
      </w:pPr>
      <w:r>
        <w:t xml:space="preserve">Results:</w:t>
      </w:r>
      <w:r>
        <w:t xml:space="preserve"> </w:t>
      </w:r>
      <w:r>
        <w:rPr>
          <w:rStyle w:val="VerbatimChar"/>
        </w:rPr>
        <w:t xml:space="preserve">docs/EXPERIMENTS.md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train_v7_colab.ipynb</w:t>
      </w:r>
    </w:p>
    <w:p>
      <w:pPr>
        <w:pStyle w:val="Compact"/>
        <w:numPr>
          <w:ilvl w:val="0"/>
          <w:numId w:val="1008"/>
        </w:numPr>
      </w:pPr>
      <w:r>
        <w:t xml:space="preserve">Historical guidance: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docs/AUDIT_REPORT.md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docs/IMPLEMENTATION_GUIDE.md</w:t>
      </w:r>
    </w:p>
    <w:p>
      <w:pPr>
        <w:pStyle w:val="Compact"/>
        <w:numPr>
          <w:ilvl w:val="0"/>
          <w:numId w:val="1008"/>
        </w:numPr>
      </w:pPr>
      <w:r>
        <w:t xml:space="preserve">Publication planning:</w:t>
      </w:r>
      <w:r>
        <w:t xml:space="preserve"> </w:t>
      </w:r>
      <w:r>
        <w:rPr>
          <w:rStyle w:val="VerbatimChar"/>
        </w:rPr>
        <w:t xml:space="preserve">docs/PUBLICATION_STRATEGY_2026-03-22.md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docs/RESEARCH_ROADMAP.md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docs/BENCHMARK_MATRIX_2026-03-22.md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docs/BENCHMARK_SUMMARY.md</w:t>
      </w:r>
    </w:p>
    <w:p>
      <w:pPr>
        <w:pStyle w:val="Compact"/>
        <w:numPr>
          <w:ilvl w:val="0"/>
          <w:numId w:val="1008"/>
        </w:numPr>
      </w:pPr>
      <w:r>
        <w:t xml:space="preserve">Codex integration: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.codex/agents/*.toml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.agents/skills/*/SKILL.md</w:t>
      </w:r>
    </w:p>
    <w:p>
      <w:pPr>
        <w:pStyle w:val="Compact"/>
        <w:numPr>
          <w:ilvl w:val="0"/>
          <w:numId w:val="1008"/>
        </w:numPr>
      </w:pPr>
      <w:r>
        <w:t xml:space="preserve">Scoped instructions:</w:t>
      </w:r>
      <w:r>
        <w:t xml:space="preserve"> </w:t>
      </w:r>
      <w:r>
        <w:rPr>
          <w:rStyle w:val="VerbatimChar"/>
        </w:rPr>
        <w:t xml:space="preserve">paper/AGENTS.md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src/AGENTS.md</w:t>
      </w:r>
    </w:p>
    <w:p>
      <w:pPr>
        <w:pStyle w:val="Compact"/>
        <w:numPr>
          <w:ilvl w:val="0"/>
          <w:numId w:val="1008"/>
        </w:numPr>
      </w:pPr>
      <w:r>
        <w:t xml:space="preserve">Codex safety layer:</w:t>
      </w:r>
      <w:r>
        <w:t xml:space="preserve"> </w:t>
      </w:r>
      <w:r>
        <w:rPr>
          <w:rStyle w:val="VerbatimChar"/>
        </w:rPr>
        <w:t xml:space="preserve">.codex/hooks.json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.codex/hooks/*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codex/rules/*.rules</w:t>
      </w:r>
    </w:p>
    <w:bookmarkEnd w:id="14"/>
    <w:bookmarkStart w:id="15" w:name="repo-specific-skills"/>
    <w:p>
      <w:pPr>
        <w:pStyle w:val="Heading2"/>
      </w:pPr>
      <w:r>
        <w:t xml:space="preserve">Repo-Specific Skills</w:t>
      </w:r>
    </w:p>
    <w:p>
      <w:pPr>
        <w:pStyle w:val="FirstParagraph"/>
      </w:pPr>
      <w:r>
        <w:t xml:space="preserve">Prefer the repository skills when the task matches: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status</w:t>
      </w:r>
      <w:r>
        <w:t xml:space="preserve">: current study snapshot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reconcile-results</w:t>
      </w:r>
      <w:r>
        <w:t xml:space="preserve">: resolve mismatches between docs, checkpoints, notebooks, and JSON 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compare</w:t>
      </w:r>
      <w:r>
        <w:t xml:space="preserve">: compare versions, circuits, or baselines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review-circuit</w:t>
      </w:r>
      <w:r>
        <w:t xml:space="preserve">: quantum circuit review with the custom QML reviewer agent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performance-debug</w:t>
      </w:r>
      <w:r>
        <w:t xml:space="preserve">: slowness, dead quantum signal, scheduler mistakes, or learning collapse analysis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paper-sync</w:t>
      </w:r>
      <w:r>
        <w:t xml:space="preserve">: synchronize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 docs, and study claims before writing or editing the paper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codex-audit</w:t>
      </w:r>
      <w:r>
        <w:t xml:space="preserve">: audit official Codex capabilities against the repo's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benchmark-triage</w:t>
      </w:r>
      <w:r>
        <w:t xml:space="preserve">: choose the next benchmark or training task from current evidence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roadmap-sync</w:t>
      </w:r>
      <w:r>
        <w:t xml:space="preserve">: derive a next-phase plan from benchmark truth and publication strategy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artifact-pack</w:t>
      </w:r>
      <w:r>
        <w:t xml:space="preserve">: prepare advisor/share/submission packs without stale claims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experiment</w:t>
      </w:r>
      <w:r>
        <w:t xml:space="preserve">: run or plan an experiment and document it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log-result</w:t>
      </w:r>
      <w:r>
        <w:t xml:space="preserve">: update result logs after verification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train</w:t>
      </w:r>
      <w:r>
        <w:t xml:space="preserve">: training orchestration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setup-env</w:t>
      </w:r>
      <w:r>
        <w:t xml:space="preserve">: local or Colab environment setup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sync-colab</w:t>
      </w:r>
      <w:r>
        <w:t xml:space="preserve">: local/Colab sync workflow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architecture</w:t>
      </w:r>
      <w:r>
        <w:t xml:space="preserve">: design or analyze model changes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gradient-check</w:t>
      </w:r>
      <w:r>
        <w:t xml:space="preserve">: debug vanishing or exploding gradients</w:t>
      </w:r>
    </w:p>
    <w:bookmarkEnd w:id="15"/>
    <w:bookmarkStart w:id="16" w:name="repo-specific-custom-agents"/>
    <w:p>
      <w:pPr>
        <w:pStyle w:val="Heading2"/>
      </w:pPr>
      <w:r>
        <w:t xml:space="preserve">Repo-Specific Custom Agents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quantum_ml_reviewer</w:t>
      </w:r>
      <w:r>
        <w:t xml:space="preserve">: read-only quantum ML reviewer for circuits and hybrid training logic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result_reconciler</w:t>
      </w:r>
      <w:r>
        <w:t xml:space="preserve">: read-only artifact reconciler for "what is actually true right now?"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paper_consistency_reviewer</w:t>
      </w:r>
      <w:r>
        <w:t xml:space="preserve">: read-only reviewer for stale or unsupported claims in paper/docs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paper_writer</w:t>
      </w:r>
      <w:r>
        <w:t xml:space="preserve">: write-focused academic drafting agent for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 </w:t>
      </w:r>
      <w:r>
        <w:t xml:space="preserve">and closely related study docs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workflow_architect</w:t>
      </w:r>
      <w:r>
        <w:t xml:space="preserve">: read-only reviewer for Codex integration, hooks, rules, profiles, and repo workflow coverage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benchmark_strategist</w:t>
      </w:r>
      <w:r>
        <w:t xml:space="preserve">: read-only planner for benchmark order, platform choice, compute cost, and paper impact</w:t>
      </w:r>
    </w:p>
    <w:bookmarkEnd w:id="16"/>
    <w:bookmarkStart w:id="17" w:name="practical-commands"/>
    <w:p>
      <w:pPr>
        <w:pStyle w:val="Heading2"/>
      </w:pPr>
      <w:r>
        <w:t xml:space="preserve">Practical Commands</w:t>
      </w:r>
    </w:p>
    <w:p>
      <w:pPr>
        <w:pStyle w:val="Compact"/>
        <w:numPr>
          <w:ilvl w:val="0"/>
          <w:numId w:val="1011"/>
        </w:numPr>
      </w:pPr>
      <w:r>
        <w:t xml:space="preserve">Base training:</w:t>
      </w:r>
      <w:r>
        <w:t xml:space="preserve"> </w:t>
      </w:r>
      <w:r>
        <w:rPr>
          <w:rStyle w:val="VerbatimChar"/>
        </w:rPr>
        <w:t xml:space="preserve">python -m src.train</w:t>
      </w:r>
    </w:p>
    <w:p>
      <w:pPr>
        <w:pStyle w:val="Compact"/>
        <w:numPr>
          <w:ilvl w:val="0"/>
          <w:numId w:val="1011"/>
        </w:numPr>
      </w:pPr>
      <w:r>
        <w:t xml:space="preserve">Enhanced V7 training:</w:t>
      </w:r>
      <w:r>
        <w:t xml:space="preserve"> </w:t>
      </w:r>
      <w:r>
        <w:rPr>
          <w:rStyle w:val="VerbatimChar"/>
        </w:rPr>
        <w:t xml:space="preserve">python train_v7.py</w:t>
      </w:r>
    </w:p>
    <w:p>
      <w:pPr>
        <w:pStyle w:val="Compact"/>
        <w:numPr>
          <w:ilvl w:val="0"/>
          <w:numId w:val="1011"/>
        </w:numPr>
      </w:pPr>
      <w:r>
        <w:t xml:space="preserve">Local ablations:</w:t>
      </w:r>
      <w:r>
        <w:t xml:space="preserve"> </w:t>
      </w:r>
      <w:r>
        <w:rPr>
          <w:rStyle w:val="VerbatimChar"/>
        </w:rPr>
        <w:t xml:space="preserve">python train_ablation_local.py --help</w:t>
      </w:r>
    </w:p>
    <w:p>
      <w:pPr>
        <w:pStyle w:val="Compact"/>
        <w:numPr>
          <w:ilvl w:val="0"/>
          <w:numId w:val="1011"/>
        </w:numPr>
      </w:pPr>
      <w:r>
        <w:t xml:space="preserve">Thesis-faithful benchmark models:</w:t>
      </w:r>
      <w:r>
        <w:t xml:space="preserve"> </w:t>
      </w:r>
      <w:r>
        <w:rPr>
          <w:rStyle w:val="VerbatimChar"/>
        </w:rPr>
        <w:t xml:space="preserve">python train_thesis_models.py --help</w:t>
      </w:r>
    </w:p>
    <w:p>
      <w:pPr>
        <w:pStyle w:val="Compact"/>
        <w:numPr>
          <w:ilvl w:val="0"/>
          <w:numId w:val="1011"/>
        </w:numPr>
      </w:pPr>
      <w:r>
        <w:t xml:space="preserve">Aggregate benchmark tables:</w:t>
      </w:r>
      <w:r>
        <w:t xml:space="preserve"> </w:t>
      </w:r>
      <w:r>
        <w:rPr>
          <w:rStyle w:val="VerbatimChar"/>
        </w:rPr>
        <w:t xml:space="preserve">python scripts/aggregate_benchmarks.py</w:t>
      </w:r>
    </w:p>
    <w:p>
      <w:pPr>
        <w:pStyle w:val="Compact"/>
        <w:numPr>
          <w:ilvl w:val="0"/>
          <w:numId w:val="1011"/>
        </w:numPr>
      </w:pPr>
      <w:r>
        <w:t xml:space="preserve">Codex non-interactive study status:</w:t>
      </w:r>
      <w:r>
        <w:t xml:space="preserve"> </w:t>
      </w:r>
      <w:r>
        <w:rPr>
          <w:rStyle w:val="VerbatimChar"/>
        </w:rPr>
        <w:t xml:space="preserve">./scripts/codex-study-status.sh</w:t>
      </w:r>
    </w:p>
    <w:p>
      <w:pPr>
        <w:pStyle w:val="Compact"/>
        <w:numPr>
          <w:ilvl w:val="0"/>
          <w:numId w:val="1011"/>
        </w:numPr>
      </w:pPr>
      <w:r>
        <w:t xml:space="preserve">Codex paper audit:</w:t>
      </w:r>
      <w:r>
        <w:t xml:space="preserve"> </w:t>
      </w:r>
      <w:r>
        <w:rPr>
          <w:rStyle w:val="VerbatimChar"/>
        </w:rPr>
        <w:t xml:space="preserve">./scripts/codex-paper-audit.sh</w:t>
      </w:r>
    </w:p>
    <w:p>
      <w:pPr>
        <w:pStyle w:val="Compact"/>
        <w:numPr>
          <w:ilvl w:val="0"/>
          <w:numId w:val="1011"/>
        </w:numPr>
      </w:pPr>
      <w:r>
        <w:t xml:space="preserve">Codex circuit review:</w:t>
      </w:r>
      <w:r>
        <w:t xml:space="preserve"> </w:t>
      </w:r>
      <w:r>
        <w:rPr>
          <w:rStyle w:val="VerbatimChar"/>
        </w:rPr>
        <w:t xml:space="preserve">./scripts/codex-circuit-review.sh src/trainable_quantum_model.py</w:t>
      </w:r>
    </w:p>
    <w:p>
      <w:pPr>
        <w:pStyle w:val="Compact"/>
        <w:numPr>
          <w:ilvl w:val="0"/>
          <w:numId w:val="1011"/>
        </w:numPr>
      </w:pPr>
      <w:r>
        <w:t xml:space="preserve">Codex capability audit:</w:t>
      </w:r>
      <w:r>
        <w:t xml:space="preserve"> </w:t>
      </w:r>
      <w:r>
        <w:rPr>
          <w:rStyle w:val="VerbatimChar"/>
        </w:rPr>
        <w:t xml:space="preserve">./scripts/codex-capability-audit.sh</w:t>
      </w:r>
    </w:p>
    <w:p>
      <w:pPr>
        <w:pStyle w:val="Compact"/>
        <w:numPr>
          <w:ilvl w:val="0"/>
          <w:numId w:val="1011"/>
        </w:numPr>
      </w:pPr>
      <w:r>
        <w:t xml:space="preserve">Codex workflow gap audit:</w:t>
      </w:r>
      <w:r>
        <w:t xml:space="preserve"> </w:t>
      </w:r>
      <w:r>
        <w:rPr>
          <w:rStyle w:val="VerbatimChar"/>
        </w:rPr>
        <w:t xml:space="preserve">./scripts/codex-gap-audit.sh</w:t>
      </w:r>
    </w:p>
    <w:p>
      <w:pPr>
        <w:pStyle w:val="Compact"/>
        <w:numPr>
          <w:ilvl w:val="0"/>
          <w:numId w:val="1011"/>
        </w:numPr>
      </w:pPr>
      <w:r>
        <w:t xml:space="preserve">Codex benchmark triage:</w:t>
      </w:r>
      <w:r>
        <w:t xml:space="preserve"> </w:t>
      </w:r>
      <w:r>
        <w:rPr>
          <w:rStyle w:val="VerbatimChar"/>
        </w:rPr>
        <w:t xml:space="preserve">./scripts/codex-benchmark-triage.sh</w:t>
      </w:r>
    </w:p>
    <w:p>
      <w:pPr>
        <w:pStyle w:val="Compact"/>
        <w:numPr>
          <w:ilvl w:val="0"/>
          <w:numId w:val="1011"/>
        </w:numPr>
      </w:pPr>
      <w:r>
        <w:t xml:space="preserve">Codex roadmap plan:</w:t>
      </w:r>
      <w:r>
        <w:t xml:space="preserve"> </w:t>
      </w:r>
      <w:r>
        <w:rPr>
          <w:rStyle w:val="VerbatimChar"/>
        </w:rPr>
        <w:t xml:space="preserve">./scripts/codex-roadmap-plan.sh</w:t>
      </w:r>
    </w:p>
    <w:p>
      <w:pPr>
        <w:pStyle w:val="Compact"/>
        <w:numPr>
          <w:ilvl w:val="0"/>
          <w:numId w:val="1011"/>
        </w:numPr>
      </w:pPr>
      <w:r>
        <w:t xml:space="preserve">Codex Colab handoff:</w:t>
      </w:r>
      <w:r>
        <w:t xml:space="preserve"> </w:t>
      </w:r>
      <w:r>
        <w:rPr>
          <w:rStyle w:val="VerbatimChar"/>
        </w:rPr>
        <w:t xml:space="preserve">./scripts/codex-colab-handoff.sh</w:t>
      </w:r>
    </w:p>
    <w:p>
      <w:pPr>
        <w:pStyle w:val="Compact"/>
        <w:numPr>
          <w:ilvl w:val="0"/>
          <w:numId w:val="1011"/>
        </w:numPr>
      </w:pPr>
      <w:r>
        <w:t xml:space="preserve">Codex artifact pack:</w:t>
      </w:r>
      <w:r>
        <w:t xml:space="preserve"> </w:t>
      </w:r>
      <w:r>
        <w:rPr>
          <w:rStyle w:val="VerbatimChar"/>
        </w:rPr>
        <w:t xml:space="preserve">./scripts/codex-artifact-pack.sh</w:t>
      </w:r>
    </w:p>
    <w:p>
      <w:pPr>
        <w:pStyle w:val="Compact"/>
        <w:numPr>
          <w:ilvl w:val="0"/>
          <w:numId w:val="1011"/>
        </w:numPr>
      </w:pPr>
      <w:r>
        <w:t xml:space="preserve">Codex model benchmark:</w:t>
      </w:r>
      <w:r>
        <w:t xml:space="preserve"> </w:t>
      </w:r>
      <w:r>
        <w:rPr>
          <w:rStyle w:val="VerbatimChar"/>
        </w:rPr>
        <w:t xml:space="preserve">./scripts/codex-model-benchmark.sh</w:t>
      </w:r>
    </w:p>
    <w:p>
      <w:pPr>
        <w:pStyle w:val="Compact"/>
        <w:numPr>
          <w:ilvl w:val="0"/>
          <w:numId w:val="1011"/>
        </w:numPr>
      </w:pPr>
      <w:r>
        <w:t xml:space="preserve">Review local changes: use Codex</w:t>
      </w:r>
      <w:r>
        <w:t xml:space="preserve"> </w:t>
      </w:r>
      <w:r>
        <w:rPr>
          <w:rStyle w:val="VerbatimChar"/>
        </w:rPr>
        <w:t xml:space="preserve">/review</w:t>
      </w:r>
    </w:p>
    <w:p>
      <w:pPr>
        <w:pStyle w:val="Compact"/>
        <w:numPr>
          <w:ilvl w:val="0"/>
          <w:numId w:val="1011"/>
        </w:numPr>
      </w:pPr>
      <w:r>
        <w:t xml:space="preserve">Generate or refresh project instructions: use Codex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t xml:space="preserve">only if you are intentionally regenerating this file</w:t>
      </w:r>
    </w:p>
    <w:bookmarkEnd w:id="17"/>
    <w:bookmarkStart w:id="18" w:name="recommended-codex-profiles"/>
    <w:p>
      <w:pPr>
        <w:pStyle w:val="Heading2"/>
      </w:pPr>
      <w:r>
        <w:t xml:space="preserve">Recommended Codex Profiles</w:t>
      </w:r>
    </w:p>
    <w:p>
      <w:pPr>
        <w:pStyle w:val="Compact"/>
        <w:numPr>
          <w:ilvl w:val="0"/>
          <w:numId w:val="1012"/>
        </w:numPr>
      </w:pPr>
      <w:r>
        <w:t xml:space="preserve">Default top-level config: general repository work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paper</w:t>
      </w:r>
      <w:r>
        <w:t xml:space="preserve">: high-rigor paper drafting and claim checks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review</w:t>
      </w:r>
      <w:r>
        <w:t xml:space="preserve">: read-only audit mode for repo review and circuit inspection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fast_local</w:t>
      </w:r>
      <w:r>
        <w:t xml:space="preserve">: lighter local iteration when you do not need maximum reasoning depth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benchmark</w:t>
      </w:r>
      <w:r>
        <w:t xml:space="preserve">: benchmark triage, result reconciliation, and experiment planning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colab</w:t>
      </w:r>
      <w:r>
        <w:t xml:space="preserve">: Colab handoff and remote training orchestration planning</w:t>
      </w:r>
    </w:p>
    <w:bookmarkEnd w:id="18"/>
    <w:bookmarkStart w:id="19" w:name="codex-specific-notes"/>
    <w:p>
      <w:pPr>
        <w:pStyle w:val="Heading2"/>
      </w:pPr>
      <w:r>
        <w:t xml:space="preserve">Codex-Specific Notes</w:t>
      </w:r>
    </w:p>
    <w:p>
      <w:pPr>
        <w:pStyle w:val="Compact"/>
        <w:numPr>
          <w:ilvl w:val="0"/>
          <w:numId w:val="1013"/>
        </w:numPr>
      </w:pPr>
      <w:r>
        <w:t xml:space="preserve">Trust the repository so project-scoped</w:t>
      </w:r>
      <w:r>
        <w:t xml:space="preserve"> </w:t>
      </w:r>
      <w:r>
        <w:rPr>
          <w:rStyle w:val="VerbatimChar"/>
        </w:rPr>
        <w:t xml:space="preserve">.codex/</w:t>
      </w:r>
      <w:r>
        <w:t xml:space="preserve"> </w:t>
      </w:r>
      <w:r>
        <w:t xml:space="preserve">settings load.</w:t>
      </w:r>
    </w:p>
    <w:p>
      <w:pPr>
        <w:pStyle w:val="Compact"/>
        <w:numPr>
          <w:ilvl w:val="0"/>
          <w:numId w:val="1013"/>
        </w:numPr>
      </w:pPr>
      <w:r>
        <w:t xml:space="preserve">If hooks are enabled, treat them as lightweight reminders, not as substitutes for reconciliation.</w:t>
      </w:r>
    </w:p>
    <w:p>
      <w:pPr>
        <w:pStyle w:val="Compact"/>
        <w:numPr>
          <w:ilvl w:val="0"/>
          <w:numId w:val="1013"/>
        </w:numPr>
      </w:pPr>
      <w:r>
        <w:t xml:space="preserve">If command-approval rules trigger, remember they are shell safety guardrails rather than scientific truth checks.</w:t>
      </w:r>
    </w:p>
    <w:p>
      <w:pPr>
        <w:pStyle w:val="Compact"/>
        <w:numPr>
          <w:ilvl w:val="0"/>
          <w:numId w:val="1013"/>
        </w:numPr>
      </w:pPr>
      <w:r>
        <w:t xml:space="preserve">If a session is not behaving as expected, check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/debug-config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 the user asks for a Turkish study report, prefer</w:t>
      </w:r>
      <w:r>
        <w:t xml:space="preserve"> </w:t>
      </w:r>
      <w:r>
        <w:rPr>
          <w:rStyle w:val="VerbatimChar"/>
        </w:rPr>
        <w:t xml:space="preserve">reconcile-results</w:t>
      </w:r>
      <w:r>
        <w:t xml:space="preserve"> </w:t>
      </w:r>
      <w:r>
        <w:t xml:space="preserve">first and then write the report in Turkish.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2026-04-05T21:23:30Z</dcterms:created>
  <dcterms:modified xsi:type="dcterms:W3CDTF">2026-04-05T21:23:30Z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