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dex-operating-model"/>
    <w:p>
      <w:pPr>
        <w:pStyle w:val="Heading1"/>
      </w:pPr>
      <w:r>
        <w:t xml:space="preserve">Codex Operating Model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5, 2026</w:t>
      </w:r>
    </w:p>
    <w:p>
      <w:pPr>
        <w:pStyle w:val="BodyText"/>
      </w:pPr>
      <w:r>
        <w:t xml:space="preserve">This document defines how Codex should be used in this repository after the April 2026 upgrade sprint.</w:t>
      </w:r>
    </w:p>
    <w:bookmarkStart w:id="9" w:name="X328c2c2e77f014228071ab8a4bed118b453c7b1"/>
    <w:p>
      <w:pPr>
        <w:pStyle w:val="Heading2"/>
      </w:pPr>
      <w:r>
        <w:t xml:space="preserve">1. Core Principle</w:t>
      </w:r>
    </w:p>
    <w:p>
      <w:pPr>
        <w:pStyle w:val="FirstParagraph"/>
      </w:pPr>
      <w:r>
        <w:t xml:space="preserve">The goal is not to use every Codex feature. The goal is to use a</w:t>
      </w:r>
      <w:r>
        <w:t xml:space="preserve"> </w:t>
      </w:r>
      <w:r>
        <w:rPr>
          <w:b/>
          <w:bCs/>
        </w:rPr>
        <w:t xml:space="preserve">small, high-leverage, repo-specific Codex stack</w:t>
      </w:r>
      <w:r>
        <w:t xml:space="preserve"> </w:t>
      </w:r>
      <w:r>
        <w:t xml:space="preserve">that improves research throughput and publication safety.</w:t>
      </w:r>
    </w:p>
    <w:bookmarkEnd w:id="9"/>
    <w:bookmarkStart w:id="10" w:name="Xd6963dee278898203b5d9464c77d674d2ed33f7"/>
    <w:p>
      <w:pPr>
        <w:pStyle w:val="Heading2"/>
      </w:pPr>
      <w:r>
        <w:t xml:space="preserve">2. Instruction Stack</w:t>
      </w:r>
    </w:p>
    <w:p>
      <w:pPr>
        <w:pStyle w:val="FirstParagraph"/>
      </w:pPr>
      <w:r>
        <w:t xml:space="preserve">Instruction precedence in this repo:</w:t>
      </w:r>
    </w:p>
    <w:p>
      <w:pPr>
        <w:pStyle w:val="Compact"/>
        <w:numPr>
          <w:ilvl w:val="0"/>
          <w:numId w:val="1001"/>
        </w:numPr>
      </w:pPr>
      <w:r>
        <w:t xml:space="preserve">root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1"/>
        </w:numPr>
      </w:pPr>
      <w:r>
        <w:t xml:space="preserve">nearest nested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1"/>
        </w:numPr>
      </w:pPr>
      <w:r>
        <w:t xml:space="preserve">repository skills</w:t>
      </w:r>
    </w:p>
    <w:p>
      <w:pPr>
        <w:pStyle w:val="Compact"/>
        <w:numPr>
          <w:ilvl w:val="0"/>
          <w:numId w:val="1001"/>
        </w:numPr>
      </w:pPr>
      <w:r>
        <w:t xml:space="preserve">repository subagents</w:t>
      </w:r>
    </w:p>
    <w:p>
      <w:pPr>
        <w:pStyle w:val="Compact"/>
        <w:numPr>
          <w:ilvl w:val="0"/>
          <w:numId w:val="1001"/>
        </w:numPr>
      </w:pPr>
      <w:r>
        <w:t xml:space="preserve">hooks as reminder/context layer</w:t>
      </w:r>
    </w:p>
    <w:p>
      <w:pPr>
        <w:pStyle w:val="Compact"/>
        <w:numPr>
          <w:ilvl w:val="0"/>
          <w:numId w:val="1001"/>
        </w:numPr>
      </w:pPr>
      <w:r>
        <w:t xml:space="preserve">rules as shell approval guardrails</w:t>
      </w:r>
    </w:p>
    <w:p>
      <w:pPr>
        <w:pStyle w:val="FirstParagraph"/>
      </w:pPr>
      <w:r>
        <w:t xml:space="preserve">Scoped instruction files: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paper/AGENTS.md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docs/AGENTS.md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src/AGENTS.md</w:t>
      </w:r>
    </w:p>
    <w:bookmarkEnd w:id="10"/>
    <w:bookmarkStart w:id="11" w:name="X9c3e9773fc7f6f7cf0bf1250782677566a203ed"/>
    <w:p>
      <w:pPr>
        <w:pStyle w:val="Heading2"/>
      </w:pPr>
      <w:r>
        <w:t xml:space="preserve">3. Profile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Default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manuscript editing, claim-sensitive drafting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read-only audits, circuit review, paper consistency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fast_local</w:t>
            </w:r>
          </w:p>
        </w:tc>
        <w:tc>
          <w:tcPr/>
          <w:p>
            <w:pPr>
              <w:pStyle w:val="Compact"/>
            </w:pPr>
            <w:r>
              <w:t xml:space="preserve">lighter local iteration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result reconciliation, next-run decision, roadmap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colab</w:t>
            </w:r>
          </w:p>
        </w:tc>
        <w:tc>
          <w:tcPr/>
          <w:p>
            <w:pPr>
              <w:pStyle w:val="Compact"/>
            </w:pPr>
            <w:r>
              <w:t xml:space="preserve">Colab handoff and remote-run planning</w:t>
            </w:r>
          </w:p>
        </w:tc>
      </w:tr>
    </w:tbl>
    <w:p>
      <w:pPr>
        <w:pStyle w:val="BodyText"/>
      </w:pPr>
      <w:r>
        <w:t xml:space="preserve">These profiles remain the conceptual operating modes for the repo. For the current</w:t>
      </w:r>
      <w:r>
        <w:t xml:space="preserve"> </w:t>
      </w:r>
      <w:r>
        <w:t xml:space="preserve">local Codex CLI, the non-interactive</w:t>
      </w:r>
      <w:r>
        <w:t xml:space="preserve"> </w:t>
      </w:r>
      <w:r>
        <w:rPr>
          <w:rStyle w:val="VerbatimChar"/>
        </w:rPr>
        <w:t xml:space="preserve">scripts/codex-*.sh</w:t>
      </w:r>
      <w:r>
        <w:t xml:space="preserve"> </w:t>
      </w:r>
      <w:r>
        <w:t xml:space="preserve">layer pins equivalent</w:t>
      </w:r>
      <w:r>
        <w:t xml:space="preserve"> </w:t>
      </w:r>
      <w:r>
        <w:t xml:space="preserve">model/reasoning/sandbox settings explicitly on the command line for compatibility.</w:t>
      </w:r>
    </w:p>
    <w:bookmarkEnd w:id="11"/>
    <w:bookmarkStart w:id="12" w:name="Xb23d298b865b6d48c23a4799a87364c7ae6da0a"/>
    <w:p>
      <w:pPr>
        <w:pStyle w:val="Heading2"/>
      </w:pPr>
      <w:r>
        <w:t xml:space="preserve">4. Skill Routing</w:t>
      </w:r>
    </w:p>
    <w:p>
      <w:pPr>
        <w:pStyle w:val="FirstParagraph"/>
      </w:pPr>
      <w:r>
        <w:t xml:space="preserve">Use these skills by default for the following jobs:</w:t>
      </w:r>
    </w:p>
    <w:p>
      <w:pPr>
        <w:pStyle w:val="Compact"/>
        <w:numPr>
          <w:ilvl w:val="0"/>
          <w:numId w:val="1003"/>
        </w:numPr>
      </w:pPr>
      <w:r>
        <w:t xml:space="preserve">current repo state: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3"/>
        </w:numPr>
      </w:pPr>
      <w:r>
        <w:t xml:space="preserve">metric/truth reconciliation:</w:t>
      </w:r>
      <w:r>
        <w:t xml:space="preserve"> </w:t>
      </w:r>
      <w:r>
        <w:rPr>
          <w:rStyle w:val="VerbatimChar"/>
        </w:rPr>
        <w:t xml:space="preserve">reconcile-results</w:t>
      </w:r>
    </w:p>
    <w:p>
      <w:pPr>
        <w:pStyle w:val="Compact"/>
        <w:numPr>
          <w:ilvl w:val="0"/>
          <w:numId w:val="1003"/>
        </w:numPr>
      </w:pPr>
      <w:r>
        <w:t xml:space="preserve">Codex capability or integration review:</w:t>
      </w:r>
      <w:r>
        <w:t xml:space="preserve"> </w:t>
      </w:r>
      <w:r>
        <w:rPr>
          <w:rStyle w:val="VerbatimChar"/>
        </w:rPr>
        <w:t xml:space="preserve">codex-audit</w:t>
      </w:r>
    </w:p>
    <w:p>
      <w:pPr>
        <w:pStyle w:val="Compact"/>
        <w:numPr>
          <w:ilvl w:val="0"/>
          <w:numId w:val="1003"/>
        </w:numPr>
      </w:pPr>
      <w:r>
        <w:t xml:space="preserve">next-run choice:</w:t>
      </w:r>
      <w:r>
        <w:t xml:space="preserve"> </w:t>
      </w:r>
      <w:r>
        <w:rPr>
          <w:rStyle w:val="VerbatimChar"/>
        </w:rPr>
        <w:t xml:space="preserve">benchmark-triage</w:t>
      </w:r>
    </w:p>
    <w:p>
      <w:pPr>
        <w:pStyle w:val="Compact"/>
        <w:numPr>
          <w:ilvl w:val="0"/>
          <w:numId w:val="1003"/>
        </w:numPr>
      </w:pPr>
      <w:r>
        <w:t xml:space="preserve">next-phase planning:</w:t>
      </w:r>
      <w:r>
        <w:t xml:space="preserve"> </w:t>
      </w:r>
      <w:r>
        <w:rPr>
          <w:rStyle w:val="VerbatimChar"/>
        </w:rPr>
        <w:t xml:space="preserve">roadmap-sync</w:t>
      </w:r>
    </w:p>
    <w:p>
      <w:pPr>
        <w:pStyle w:val="Compact"/>
        <w:numPr>
          <w:ilvl w:val="0"/>
          <w:numId w:val="1003"/>
        </w:numPr>
      </w:pPr>
      <w:r>
        <w:t xml:space="preserve">paper synchronization:</w:t>
      </w:r>
      <w:r>
        <w:t xml:space="preserve"> </w:t>
      </w:r>
      <w:r>
        <w:rPr>
          <w:rStyle w:val="VerbatimChar"/>
        </w:rPr>
        <w:t xml:space="preserve">paper-sync</w:t>
      </w:r>
    </w:p>
    <w:p>
      <w:pPr>
        <w:pStyle w:val="Compact"/>
        <w:numPr>
          <w:ilvl w:val="0"/>
          <w:numId w:val="1003"/>
        </w:numPr>
      </w:pPr>
      <w:r>
        <w:t xml:space="preserve">artifact/share packet refresh:</w:t>
      </w:r>
      <w:r>
        <w:t xml:space="preserve"> </w:t>
      </w:r>
      <w:r>
        <w:rPr>
          <w:rStyle w:val="VerbatimChar"/>
        </w:rPr>
        <w:t xml:space="preserve">artifact-pack</w:t>
      </w:r>
    </w:p>
    <w:p>
      <w:pPr>
        <w:pStyle w:val="Compact"/>
        <w:numPr>
          <w:ilvl w:val="0"/>
          <w:numId w:val="1003"/>
        </w:numPr>
      </w:pPr>
      <w:r>
        <w:t xml:space="preserve">training orchestration:</w:t>
      </w:r>
      <w:r>
        <w:t xml:space="preserve"> </w:t>
      </w:r>
      <w:r>
        <w:rPr>
          <w:rStyle w:val="VerbatimChar"/>
        </w:rPr>
        <w:t xml:space="preserve">train</w:t>
      </w:r>
    </w:p>
    <w:p>
      <w:pPr>
        <w:pStyle w:val="Compact"/>
        <w:numPr>
          <w:ilvl w:val="0"/>
          <w:numId w:val="1003"/>
        </w:numPr>
      </w:pPr>
      <w:r>
        <w:t xml:space="preserve">Colab prep:</w:t>
      </w:r>
      <w:r>
        <w:t xml:space="preserve"> </w:t>
      </w:r>
      <w:r>
        <w:rPr>
          <w:rStyle w:val="VerbatimChar"/>
        </w:rPr>
        <w:t xml:space="preserve">sync-colab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setup-env</w:t>
      </w:r>
    </w:p>
    <w:bookmarkEnd w:id="12"/>
    <w:bookmarkStart w:id="13" w:name="X91df4d707ede8ecc25ea72097139a52d359953e"/>
    <w:p>
      <w:pPr>
        <w:pStyle w:val="Heading2"/>
      </w:pPr>
      <w:r>
        <w:t xml:space="preserve">5. Subagent Routing</w:t>
      </w:r>
    </w:p>
    <w:p>
      <w:pPr>
        <w:pStyle w:val="FirstParagraph"/>
      </w:pPr>
      <w:r>
        <w:t xml:space="preserve">Use subagents only when the task is large enough to justify them.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result_reconciler</w:t>
      </w:r>
      <w:r>
        <w:t xml:space="preserve">: factual status across artifacts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paper_consistency_reviewer</w:t>
      </w:r>
      <w:r>
        <w:t xml:space="preserve">: stale or unsupported paper/docs claims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paper_writer</w:t>
      </w:r>
      <w:r>
        <w:t xml:space="preserve">: targeted academic drafting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quantum_ml_reviewer</w:t>
      </w:r>
      <w:r>
        <w:t xml:space="preserve">: circuit/training-path review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workflow_architect</w:t>
      </w:r>
      <w:r>
        <w:t xml:space="preserve">: Codex integration and workflow coverage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benchmark_strategist</w:t>
      </w:r>
      <w:r>
        <w:t xml:space="preserve">: benchmark order, platform, compute, paper impact</w:t>
      </w:r>
    </w:p>
    <w:bookmarkEnd w:id="13"/>
    <w:bookmarkStart w:id="16" w:name="X37c7fefec613724b5456d3b744689fe778f7f8b"/>
    <w:p>
      <w:pPr>
        <w:pStyle w:val="Heading2"/>
      </w:pPr>
      <w:r>
        <w:t xml:space="preserve">6. Hooks And Rules</w:t>
      </w:r>
    </w:p>
    <w:bookmarkStart w:id="14" w:name="hooks"/>
    <w:p>
      <w:pPr>
        <w:pStyle w:val="Heading3"/>
      </w:pPr>
      <w:r>
        <w:t xml:space="preserve">Hooks</w:t>
      </w:r>
    </w:p>
    <w:p>
      <w:pPr>
        <w:pStyle w:val="FirstParagraph"/>
      </w:pPr>
      <w:r>
        <w:t xml:space="preserve">Hooks provide:</w:t>
      </w:r>
    </w:p>
    <w:p>
      <w:pPr>
        <w:pStyle w:val="Compact"/>
        <w:numPr>
          <w:ilvl w:val="0"/>
          <w:numId w:val="1005"/>
        </w:numPr>
      </w:pPr>
      <w:r>
        <w:t xml:space="preserve">session-start context</w:t>
      </w:r>
    </w:p>
    <w:p>
      <w:pPr>
        <w:pStyle w:val="Compact"/>
        <w:numPr>
          <w:ilvl w:val="0"/>
          <w:numId w:val="1005"/>
        </w:numPr>
      </w:pPr>
      <w:r>
        <w:t xml:space="preserve">prompt-time reminders</w:t>
      </w:r>
    </w:p>
    <w:p>
      <w:pPr>
        <w:pStyle w:val="Compact"/>
        <w:numPr>
          <w:ilvl w:val="0"/>
          <w:numId w:val="1005"/>
        </w:numPr>
      </w:pPr>
      <w:r>
        <w:t xml:space="preserve">Bash pre/post reminders for training, benchmarking, and writing workflows</w:t>
      </w:r>
    </w:p>
    <w:p>
      <w:pPr>
        <w:pStyle w:val="FirstParagraph"/>
      </w:pPr>
      <w:r>
        <w:t xml:space="preserve">Hooks are reminder-level only. They should not replace reconciliation or scientific judgment.</w:t>
      </w:r>
    </w:p>
    <w:bookmarkEnd w:id="14"/>
    <w:bookmarkStart w:id="15" w:name="rules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Rules are used for shell safety and approval friction only.</w:t>
      </w:r>
    </w:p>
    <w:p>
      <w:pPr>
        <w:pStyle w:val="BodyText"/>
      </w:pPr>
      <w:r>
        <w:t xml:space="preserve">They protect:</w:t>
      </w:r>
    </w:p>
    <w:p>
      <w:pPr>
        <w:pStyle w:val="Compact"/>
        <w:numPr>
          <w:ilvl w:val="0"/>
          <w:numId w:val="1006"/>
        </w:numPr>
      </w:pPr>
      <w:r>
        <w:t xml:space="preserve">benchmark summary refresh commands</w:t>
      </w:r>
    </w:p>
    <w:p>
      <w:pPr>
        <w:pStyle w:val="Compact"/>
        <w:numPr>
          <w:ilvl w:val="0"/>
          <w:numId w:val="1006"/>
        </w:numPr>
      </w:pPr>
      <w:r>
        <w:t xml:space="preserve">share/artifact refresh commands</w:t>
      </w:r>
    </w:p>
    <w:p>
      <w:pPr>
        <w:pStyle w:val="Compact"/>
        <w:numPr>
          <w:ilvl w:val="0"/>
          <w:numId w:val="1006"/>
        </w:numPr>
      </w:pPr>
      <w:r>
        <w:t xml:space="preserve">expensive or platform-sensitive training commands</w:t>
      </w:r>
    </w:p>
    <w:p>
      <w:pPr>
        <w:pStyle w:val="Compact"/>
        <w:numPr>
          <w:ilvl w:val="0"/>
          <w:numId w:val="1006"/>
        </w:numPr>
      </w:pPr>
      <w:r>
        <w:t xml:space="preserve">destructive shell commands</w:t>
      </w:r>
    </w:p>
    <w:p>
      <w:pPr>
        <w:pStyle w:val="FirstParagraph"/>
      </w:pPr>
      <w:r>
        <w:t xml:space="preserve">Rules are not a substitute for paper claim enforcement. That belongs in: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7"/>
        </w:numPr>
      </w:pPr>
      <w:r>
        <w:t xml:space="preserve">skills</w:t>
      </w:r>
    </w:p>
    <w:p>
      <w:pPr>
        <w:pStyle w:val="Compact"/>
        <w:numPr>
          <w:ilvl w:val="0"/>
          <w:numId w:val="1007"/>
        </w:numPr>
      </w:pPr>
      <w:r>
        <w:t xml:space="preserve">hooks</w:t>
      </w:r>
    </w:p>
    <w:p>
      <w:pPr>
        <w:pStyle w:val="Compact"/>
        <w:numPr>
          <w:ilvl w:val="0"/>
          <w:numId w:val="1007"/>
        </w:numPr>
      </w:pPr>
      <w:r>
        <w:t xml:space="preserve">review workflows</w:t>
      </w:r>
    </w:p>
    <w:bookmarkEnd w:id="15"/>
    <w:bookmarkEnd w:id="16"/>
    <w:bookmarkStart w:id="17" w:name="X768dc03492eaa7852131c69dc21921cad1c9fdd"/>
    <w:p>
      <w:pPr>
        <w:pStyle w:val="Heading2"/>
      </w:pPr>
      <w:r>
        <w:t xml:space="preserve">7. Script Layer</w:t>
      </w:r>
    </w:p>
    <w:p>
      <w:pPr>
        <w:pStyle w:val="FirstParagraph"/>
      </w:pPr>
      <w:r>
        <w:t xml:space="preserve">The main non-interactive workflow entrypoints are: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scripts/codex-capability-audit.sh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scripts/codex-gap-audit.sh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scripts/codex-study-status.sh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scripts/codex-paper-audit.sh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scripts/codex-circuit-review.sh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scripts/codex-benchmark-triage.sh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scripts/codex-roadmap-plan.sh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scripts/codex-colab-handoff.sh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scripts/codex-artifact-pack.sh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scripts/codex-model-benchmark.sh</w:t>
      </w:r>
    </w:p>
    <w:p>
      <w:pPr>
        <w:pStyle w:val="FirstParagraph"/>
      </w:pPr>
      <w:r>
        <w:t xml:space="preserve">For the current local CLI version, these scripts are the preferred non-interactive</w:t>
      </w:r>
      <w:r>
        <w:t xml:space="preserve"> </w:t>
      </w:r>
      <w:r>
        <w:t xml:space="preserve">entrypoints because they pin compatible Codex settings directly instead of relying</w:t>
      </w:r>
      <w:r>
        <w:t xml:space="preserve"> </w:t>
      </w:r>
      <w:r>
        <w:t xml:space="preserve">on repo-local profile resolution.</w:t>
      </w:r>
    </w:p>
    <w:bookmarkEnd w:id="17"/>
    <w:bookmarkStart w:id="18" w:name="X246d9f28aba8dd3edf3a1bc695c83716083b9fd"/>
    <w:p>
      <w:pPr>
        <w:pStyle w:val="Heading2"/>
      </w:pPr>
      <w:r>
        <w:t xml:space="preserve">8. Default Operational Sequence</w:t>
      </w:r>
    </w:p>
    <w:p>
      <w:pPr>
        <w:pStyle w:val="FirstParagraph"/>
      </w:pPr>
      <w:r>
        <w:t xml:space="preserve">When the repo truth is uncertain: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codex-study-status.sh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codex-gap-audit.sh</w:t>
      </w:r>
      <w:r>
        <w:t xml:space="preserve"> </w:t>
      </w:r>
      <w:r>
        <w:t xml:space="preserve">if the question is workflow-related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codex-benchmark-triage.sh</w:t>
      </w:r>
      <w:r>
        <w:t xml:space="preserve"> </w:t>
      </w:r>
      <w:r>
        <w:t xml:space="preserve">if the question is "what next?"</w:t>
      </w:r>
    </w:p>
    <w:p>
      <w:pPr>
        <w:pStyle w:val="FirstParagraph"/>
      </w:pPr>
      <w:r>
        <w:t xml:space="preserve">When editing the paper: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codex-paper-audit.sh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paper-sync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paper_writer</w:t>
      </w:r>
      <w:r>
        <w:t xml:space="preserve"> </w:t>
      </w:r>
      <w:r>
        <w:t xml:space="preserve">if drafting is substantial</w:t>
      </w:r>
    </w:p>
    <w:p>
      <w:pPr>
        <w:pStyle w:val="FirstParagraph"/>
      </w:pPr>
      <w:r>
        <w:t xml:space="preserve">When planning the next scientific phase: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codex-benchmark-triage.sh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codex-roadmap-plan.sh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codex-colab-handoff.sh</w:t>
      </w:r>
      <w:r>
        <w:t xml:space="preserve"> </w:t>
      </w:r>
      <w:r>
        <w:t xml:space="preserve">if the next task is a Colab run</w:t>
      </w:r>
    </w:p>
    <w:bookmarkEnd w:id="18"/>
    <w:bookmarkStart w:id="19" w:name="X2ceb4d1792a8e6c8d6de33388e88bb2b5d14a05"/>
    <w:p>
      <w:pPr>
        <w:pStyle w:val="Heading2"/>
      </w:pPr>
      <w:r>
        <w:t xml:space="preserve">9. Anti-Patterns</w:t>
      </w:r>
    </w:p>
    <w:p>
      <w:pPr>
        <w:pStyle w:val="FirstParagraph"/>
      </w:pPr>
      <w:r>
        <w:t xml:space="preserve">Avoid these:</w:t>
      </w:r>
    </w:p>
    <w:p>
      <w:pPr>
        <w:pStyle w:val="Compact"/>
        <w:numPr>
          <w:ilvl w:val="0"/>
          <w:numId w:val="1012"/>
        </w:numPr>
      </w:pPr>
      <w:r>
        <w:t xml:space="preserve">writing paper claims directly from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12"/>
        </w:numPr>
      </w:pPr>
      <w:r>
        <w:t xml:space="preserve">mixing thesis-faithful and current-local model families into one misleading leaderboard</w:t>
      </w:r>
    </w:p>
    <w:p>
      <w:pPr>
        <w:pStyle w:val="Compact"/>
        <w:numPr>
          <w:ilvl w:val="0"/>
          <w:numId w:val="1012"/>
        </w:numPr>
      </w:pPr>
      <w:r>
        <w:t xml:space="preserve">treating rules as if they were narrative-writing policies</w:t>
      </w:r>
    </w:p>
    <w:p>
      <w:pPr>
        <w:pStyle w:val="Compact"/>
        <w:numPr>
          <w:ilvl w:val="0"/>
          <w:numId w:val="1012"/>
        </w:numPr>
      </w:pPr>
      <w:r>
        <w:t xml:space="preserve">running heavy trainable-quantum work on the Mac by default</w:t>
      </w:r>
    </w:p>
    <w:p>
      <w:pPr>
        <w:pStyle w:val="Compact"/>
        <w:numPr>
          <w:ilvl w:val="0"/>
          <w:numId w:val="1012"/>
        </w:numPr>
      </w:pPr>
      <w:r>
        <w:t xml:space="preserve">adding more automation layers before the current ones are actually used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2026-04-05T21:47:22Z</dcterms:created>
  <dcterms:modified xsi:type="dcterms:W3CDTF">2026-04-05T21:47:22Z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