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next-phase-master-plan"/>
    <w:p>
      <w:pPr>
        <w:pStyle w:val="Heading1"/>
      </w:pPr>
      <w:r>
        <w:t xml:space="preserve">Next Phase Master Plan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April 5, 2026</w:t>
      </w:r>
    </w:p>
    <w:p>
      <w:pPr>
        <w:pStyle w:val="BodyText"/>
      </w:pPr>
      <w:r>
        <w:t xml:space="preserve">This document is the post-upgrade master plan for the study. It assumes the current benchmark truth remains unchanged and uses the upgraded Codex layer to reduce ambiguity in the next research phase.</w:t>
      </w:r>
    </w:p>
    <w:bookmarkStart w:id="9" w:name="Xa3a2c5c736773e48aed54337d6ce1658f780493"/>
    <w:p>
      <w:pPr>
        <w:pStyle w:val="Heading2"/>
      </w:pPr>
      <w:r>
        <w:t xml:space="preserve">1. Immediate Operating Sequence</w:t>
      </w:r>
    </w:p>
    <w:p>
      <w:pPr>
        <w:pStyle w:val="FirstParagraph"/>
      </w:pPr>
      <w:r>
        <w:t xml:space="preserve">These are the next exact actions, in order:</w:t>
      </w:r>
    </w:p>
    <w:p>
      <w:pPr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./scripts/codex-capability-audit.sh</w:t>
      </w:r>
    </w:p>
    <w:p>
      <w:pPr>
        <w:pStyle w:val="Compact"/>
        <w:numPr>
          <w:ilvl w:val="1"/>
          <w:numId w:val="1002"/>
        </w:numPr>
      </w:pPr>
      <w:r>
        <w:t xml:space="preserve">Goal: freeze the official Codex capability picture against current repo usage.</w:t>
      </w:r>
    </w:p>
    <w:p>
      <w:pPr>
        <w:pStyle w:val="Compact"/>
        <w:numPr>
          <w:ilvl w:val="1"/>
          <w:numId w:val="1002"/>
        </w:numPr>
      </w:pPr>
      <w:r>
        <w:t xml:space="preserve">Platform: local</w:t>
      </w:r>
    </w:p>
    <w:p>
      <w:pPr>
        <w:pStyle w:val="Compact"/>
        <w:numPr>
          <w:ilvl w:val="1"/>
          <w:numId w:val="1002"/>
        </w:numPr>
      </w:pPr>
      <w:r>
        <w:t xml:space="preserve">Paper impact: medium</w:t>
      </w:r>
    </w:p>
    <w:p>
      <w:pPr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./scripts/codex-gap-audit.sh</w:t>
      </w:r>
    </w:p>
    <w:p>
      <w:pPr>
        <w:pStyle w:val="Compact"/>
        <w:numPr>
          <w:ilvl w:val="1"/>
          <w:numId w:val="1003"/>
        </w:numPr>
      </w:pPr>
      <w:r>
        <w:t xml:space="preserve">Goal: verify workflow coverage and confirm no critical Codex gap remains.</w:t>
      </w:r>
    </w:p>
    <w:p>
      <w:pPr>
        <w:pStyle w:val="Compact"/>
        <w:numPr>
          <w:ilvl w:val="1"/>
          <w:numId w:val="1003"/>
        </w:numPr>
      </w:pPr>
      <w:r>
        <w:t xml:space="preserve">Platform: local</w:t>
      </w:r>
    </w:p>
    <w:p>
      <w:pPr>
        <w:pStyle w:val="Compact"/>
        <w:numPr>
          <w:ilvl w:val="1"/>
          <w:numId w:val="1003"/>
        </w:numPr>
      </w:pPr>
      <w:r>
        <w:t xml:space="preserve">Paper impact: medium</w:t>
      </w:r>
    </w:p>
    <w:p>
      <w:pPr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./scripts/codex-model-benchmark.sh</w:t>
      </w:r>
    </w:p>
    <w:p>
      <w:pPr>
        <w:pStyle w:val="Compact"/>
        <w:numPr>
          <w:ilvl w:val="1"/>
          <w:numId w:val="1004"/>
        </w:numPr>
      </w:pPr>
      <w:r>
        <w:t xml:space="preserve">Goal: compare</w:t>
      </w:r>
      <w:r>
        <w:t xml:space="preserve"> </w:t>
      </w:r>
      <w:r>
        <w:rPr>
          <w:rStyle w:val="VerbatimChar"/>
        </w:rPr>
        <w:t xml:space="preserve">gpt-5.4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gpt-5.3-codex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gpt-5.4-mini</w:t>
      </w:r>
      <w:r>
        <w:t xml:space="preserve"> </w:t>
      </w:r>
      <w:r>
        <w:t xml:space="preserve">on reconciliation, paper audit, and benchmark triage tasks.</w:t>
      </w:r>
    </w:p>
    <w:p>
      <w:pPr>
        <w:pStyle w:val="Compact"/>
        <w:numPr>
          <w:ilvl w:val="1"/>
          <w:numId w:val="1004"/>
        </w:numPr>
      </w:pPr>
      <w:r>
        <w:t xml:space="preserve">Platform: local</w:t>
      </w:r>
    </w:p>
    <w:p>
      <w:pPr>
        <w:pStyle w:val="Compact"/>
        <w:numPr>
          <w:ilvl w:val="1"/>
          <w:numId w:val="1004"/>
        </w:numPr>
      </w:pPr>
      <w:r>
        <w:t xml:space="preserve">Paper impact: low direct, high workflow value</w:t>
      </w:r>
    </w:p>
    <w:p>
      <w:pPr>
        <w:pStyle w:val="Compact"/>
        <w:numPr>
          <w:ilvl w:val="1"/>
          <w:numId w:val="1004"/>
        </w:numPr>
      </w:pPr>
      <w:r>
        <w:t xml:space="preserve">Stop condition: if</w:t>
      </w:r>
      <w:r>
        <w:t xml:space="preserve"> </w:t>
      </w:r>
      <w:r>
        <w:rPr>
          <w:rStyle w:val="VerbatimChar"/>
        </w:rPr>
        <w:t xml:space="preserve">gpt-5.3-codex</w:t>
      </w:r>
      <w:r>
        <w:t xml:space="preserve"> </w:t>
      </w:r>
      <w:r>
        <w:t xml:space="preserve">is not clearly better on at least 2/3 tasks, keep current defaults</w:t>
      </w:r>
    </w:p>
    <w:p>
      <w:pPr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./scripts/codex-benchmark-triage.sh</w:t>
      </w:r>
    </w:p>
    <w:p>
      <w:pPr>
        <w:pStyle w:val="Compact"/>
        <w:numPr>
          <w:ilvl w:val="1"/>
          <w:numId w:val="1005"/>
        </w:numPr>
      </w:pPr>
      <w:r>
        <w:t xml:space="preserve">Goal: confirm the next scientifically meaningful run under the current evidence.</w:t>
      </w:r>
    </w:p>
    <w:p>
      <w:pPr>
        <w:pStyle w:val="Compact"/>
        <w:numPr>
          <w:ilvl w:val="1"/>
          <w:numId w:val="1005"/>
        </w:numPr>
      </w:pPr>
      <w:r>
        <w:t xml:space="preserve">Platform: local</w:t>
      </w:r>
    </w:p>
    <w:p>
      <w:pPr>
        <w:pStyle w:val="Compact"/>
        <w:numPr>
          <w:ilvl w:val="1"/>
          <w:numId w:val="1005"/>
        </w:numPr>
      </w:pPr>
      <w:r>
        <w:t xml:space="preserve">Expected answer: Colab V7 confirmatory rerun</w:t>
      </w:r>
    </w:p>
    <w:p>
      <w:pPr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./scripts/codex-colab-handoff.sh</w:t>
      </w:r>
    </w:p>
    <w:p>
      <w:pPr>
        <w:pStyle w:val="Compact"/>
        <w:numPr>
          <w:ilvl w:val="1"/>
          <w:numId w:val="1006"/>
        </w:numPr>
      </w:pPr>
      <w:r>
        <w:t xml:space="preserve">Goal: prepare the exact Colab execution package for the V7 run.</w:t>
      </w:r>
    </w:p>
    <w:p>
      <w:pPr>
        <w:pStyle w:val="Compact"/>
        <w:numPr>
          <w:ilvl w:val="1"/>
          <w:numId w:val="1006"/>
        </w:numPr>
      </w:pPr>
      <w:r>
        <w:t xml:space="preserve">Platform: local</w:t>
      </w:r>
    </w:p>
    <w:p>
      <w:pPr>
        <w:pStyle w:val="Compact"/>
        <w:numPr>
          <w:ilvl w:val="1"/>
          <w:numId w:val="1006"/>
        </w:numPr>
      </w:pPr>
      <w:r>
        <w:t xml:space="preserve">Output: command choice, environment checklist, sync steps, checkpoint policy</w:t>
      </w:r>
    </w:p>
    <w:bookmarkEnd w:id="9"/>
    <w:bookmarkStart w:id="12" w:name="X50da0cdd6822ed7b07bb6a8786dff05d7c0f1f2"/>
    <w:p>
      <w:pPr>
        <w:pStyle w:val="Heading2"/>
      </w:pPr>
      <w:r>
        <w:t xml:space="preserve">2. Track A — Near-Term Publishable Route</w:t>
      </w:r>
    </w:p>
    <w:bookmarkStart w:id="10" w:name="goal"/>
    <w:p>
      <w:pPr>
        <w:pStyle w:val="Heading3"/>
      </w:pPr>
      <w:r>
        <w:t xml:space="preserve">Goal</w:t>
      </w:r>
    </w:p>
    <w:p>
      <w:pPr>
        <w:pStyle w:val="FirstParagraph"/>
      </w:pPr>
      <w:r>
        <w:t xml:space="preserve">Finish a credible Q2 / specialized-QML submission without implying unsupported quantum superiority.</w:t>
      </w:r>
    </w:p>
    <w:bookmarkEnd w:id="10"/>
    <w:bookmarkStart w:id="11" w:name="exact-task-order"/>
    <w:p>
      <w:pPr>
        <w:pStyle w:val="Heading3"/>
      </w:pPr>
      <w:r>
        <w:t xml:space="preserve">Exact Task Order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Colab V7 confirmatory rerun</w:t>
      </w:r>
    </w:p>
    <w:p>
      <w:pPr>
        <w:pStyle w:val="Compact"/>
        <w:numPr>
          <w:ilvl w:val="1"/>
          <w:numId w:val="1008"/>
        </w:numPr>
      </w:pPr>
      <w:r>
        <w:t xml:space="preserve">Platform: Colab L4 preferred; A100 acceptable if needed</w:t>
      </w:r>
    </w:p>
    <w:p>
      <w:pPr>
        <w:pStyle w:val="Compact"/>
        <w:numPr>
          <w:ilvl w:val="1"/>
          <w:numId w:val="1008"/>
        </w:numPr>
      </w:pPr>
      <w:r>
        <w:t xml:space="preserve">Entry point:</w:t>
      </w:r>
      <w:r>
        <w:t xml:space="preserve"> </w:t>
      </w:r>
      <w:r>
        <w:rPr>
          <w:rStyle w:val="VerbatimChar"/>
        </w:rPr>
        <w:t xml:space="preserve">train_v7.py</w:t>
      </w:r>
    </w:p>
    <w:p>
      <w:pPr>
        <w:pStyle w:val="Compact"/>
        <w:numPr>
          <w:ilvl w:val="1"/>
          <w:numId w:val="1008"/>
        </w:numPr>
      </w:pPr>
      <w:r>
        <w:t xml:space="preserve">Default circuit:</w:t>
      </w:r>
      <w:r>
        <w:t xml:space="preserve"> </w:t>
      </w:r>
      <w:r>
        <w:rPr>
          <w:rStyle w:val="VerbatimChar"/>
        </w:rPr>
        <w:t xml:space="preserve">data_reuploading</w:t>
      </w:r>
    </w:p>
    <w:p>
      <w:pPr>
        <w:pStyle w:val="Compact"/>
        <w:numPr>
          <w:ilvl w:val="1"/>
          <w:numId w:val="1008"/>
        </w:numPr>
      </w:pPr>
      <w:r>
        <w:t xml:space="preserve">Initial command target:</w:t>
      </w:r>
      <w:r>
        <w:t xml:space="preserve"> </w:t>
      </w:r>
      <w:r>
        <w:rPr>
          <w:rStyle w:val="VerbatimChar"/>
        </w:rPr>
        <w:t xml:space="preserve">python train_v7.py --epochs 10 --circuit data_reuploading</w:t>
      </w:r>
    </w:p>
    <w:p>
      <w:pPr>
        <w:pStyle w:val="Compact"/>
        <w:numPr>
          <w:ilvl w:val="1"/>
          <w:numId w:val="1008"/>
        </w:numPr>
      </w:pPr>
      <w:r>
        <w:t xml:space="preserve">Paper impact: high</w:t>
      </w:r>
    </w:p>
    <w:p>
      <w:pPr>
        <w:pStyle w:val="Compact"/>
        <w:numPr>
          <w:ilvl w:val="1"/>
          <w:numId w:val="1008"/>
        </w:numPr>
      </w:pPr>
      <w:r>
        <w:t xml:space="preserve">Stop conditions:</w:t>
      </w:r>
    </w:p>
    <w:p>
      <w:pPr>
        <w:pStyle w:val="Compact"/>
        <w:numPr>
          <w:ilvl w:val="2"/>
          <w:numId w:val="1009"/>
        </w:numPr>
      </w:pPr>
      <w:r>
        <w:t xml:space="preserve">stop immediately on NaN recurrence</w:t>
      </w:r>
    </w:p>
    <w:p>
      <w:pPr>
        <w:pStyle w:val="Compact"/>
        <w:numPr>
          <w:ilvl w:val="2"/>
          <w:numId w:val="1009"/>
        </w:numPr>
      </w:pPr>
      <w:r>
        <w:t xml:space="preserve">if validation remains far below the documented trajectory after early epochs, switch to debugging rather than adding more epochs</w:t>
      </w:r>
    </w:p>
    <w:p>
      <w:pPr>
        <w:pStyle w:val="Compact"/>
        <w:numPr>
          <w:ilvl w:val="2"/>
          <w:numId w:val="1009"/>
        </w:numPr>
      </w:pPr>
      <w:r>
        <w:t xml:space="preserve">if the rerun confirms V7 remains below the strongest classical baselines, keep V7 as an engineering case-study and do not spend Colab budget on extra seeds yet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Paper synchronization after the rerun</w:t>
      </w:r>
    </w:p>
    <w:p>
      <w:pPr>
        <w:pStyle w:val="Compact"/>
        <w:numPr>
          <w:ilvl w:val="1"/>
          <w:numId w:val="1010"/>
        </w:numPr>
      </w:pPr>
      <w:r>
        <w:t xml:space="preserve">Platform: local</w:t>
      </w:r>
    </w:p>
    <w:p>
      <w:pPr>
        <w:pStyle w:val="Compact"/>
        <w:numPr>
          <w:ilvl w:val="1"/>
          <w:numId w:val="1010"/>
        </w:numPr>
      </w:pPr>
      <w:r>
        <w:t xml:space="preserve">Tools:</w:t>
      </w:r>
      <w:r>
        <w:t xml:space="preserve"> </w:t>
      </w:r>
      <w:r>
        <w:rPr>
          <w:rStyle w:val="VerbatimChar"/>
        </w:rPr>
        <w:t xml:space="preserve">codex-paper-audit.sh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paper_writer</w:t>
      </w:r>
    </w:p>
    <w:p>
      <w:pPr>
        <w:pStyle w:val="Compact"/>
        <w:numPr>
          <w:ilvl w:val="1"/>
          <w:numId w:val="1010"/>
        </w:numPr>
      </w:pPr>
      <w:r>
        <w:t xml:space="preserve">Paper impact: high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Submission-facing document refresh</w:t>
      </w:r>
    </w:p>
    <w:p>
      <w:pPr>
        <w:pStyle w:val="Compact"/>
        <w:numPr>
          <w:ilvl w:val="1"/>
          <w:numId w:val="1011"/>
        </w:numPr>
      </w:pPr>
      <w:r>
        <w:t xml:space="preserve">Platform: local</w:t>
      </w:r>
    </w:p>
    <w:p>
      <w:pPr>
        <w:pStyle w:val="Compact"/>
        <w:numPr>
          <w:ilvl w:val="1"/>
          <w:numId w:val="1011"/>
        </w:numPr>
      </w:pPr>
      <w:r>
        <w:t xml:space="preserve">Tools:</w:t>
      </w:r>
      <w:r>
        <w:t xml:space="preserve"> </w:t>
      </w:r>
      <w:r>
        <w:rPr>
          <w:rStyle w:val="VerbatimChar"/>
        </w:rPr>
        <w:t xml:space="preserve">codex-artifact-pack.sh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export_docx.sh</w:t>
      </w:r>
    </w:p>
    <w:p>
      <w:pPr>
        <w:pStyle w:val="Compact"/>
        <w:numPr>
          <w:ilvl w:val="1"/>
          <w:numId w:val="1011"/>
        </w:numPr>
      </w:pPr>
      <w:r>
        <w:t xml:space="preserve">Paper impact: medium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Optional stronger compact classical baseline</w:t>
      </w:r>
    </w:p>
    <w:p>
      <w:pPr>
        <w:pStyle w:val="Compact"/>
        <w:numPr>
          <w:ilvl w:val="1"/>
          <w:numId w:val="1012"/>
        </w:numPr>
      </w:pPr>
      <w:r>
        <w:t xml:space="preserve">Candidate:</w:t>
      </w:r>
      <w:r>
        <w:t xml:space="preserve"> </w:t>
      </w:r>
      <w:r>
        <w:rPr>
          <w:rStyle w:val="VerbatimChar"/>
        </w:rPr>
        <w:t xml:space="preserve">resnet18_cifar_gray</w:t>
      </w:r>
    </w:p>
    <w:p>
      <w:pPr>
        <w:pStyle w:val="Compact"/>
        <w:numPr>
          <w:ilvl w:val="1"/>
          <w:numId w:val="1012"/>
        </w:numPr>
      </w:pPr>
      <w:r>
        <w:t xml:space="preserve">Platform: M4 first if feasible, Colab only if necessary</w:t>
      </w:r>
    </w:p>
    <w:p>
      <w:pPr>
        <w:pStyle w:val="Compact"/>
        <w:numPr>
          <w:ilvl w:val="1"/>
          <w:numId w:val="1012"/>
        </w:numPr>
      </w:pPr>
      <w:r>
        <w:t xml:space="preserve">Paper impact: medium to high</w:t>
      </w:r>
    </w:p>
    <w:p>
      <w:pPr>
        <w:pStyle w:val="Compact"/>
        <w:numPr>
          <w:ilvl w:val="1"/>
          <w:numId w:val="1012"/>
        </w:numPr>
      </w:pPr>
      <w:r>
        <w:t xml:space="preserve">Stop condition: skip if the reviewer-risk reduction does not justify the implementation and runtime cost</w:t>
      </w:r>
    </w:p>
    <w:bookmarkEnd w:id="11"/>
    <w:bookmarkEnd w:id="12"/>
    <w:bookmarkStart w:id="16" w:name="X44426c72bc1fa874d9d3db48c78e4ab3628c77f"/>
    <w:p>
      <w:pPr>
        <w:pStyle w:val="Heading2"/>
      </w:pPr>
      <w:r>
        <w:t xml:space="preserve">3. Track B — Stronger Research Route</w:t>
      </w:r>
    </w:p>
    <w:bookmarkStart w:id="13" w:name="goal-1"/>
    <w:p>
      <w:pPr>
        <w:pStyle w:val="Heading3"/>
      </w:pPr>
      <w:r>
        <w:t xml:space="preserve">Goal</w:t>
      </w:r>
    </w:p>
    <w:p>
      <w:pPr>
        <w:pStyle w:val="FirstParagraph"/>
      </w:pPr>
      <w:r>
        <w:t xml:space="preserve">Move from a fair benchmark paper toward a stronger methodology paper.</w:t>
      </w:r>
    </w:p>
    <w:bookmarkEnd w:id="13"/>
    <w:bookmarkStart w:id="14" w:name="exact-task-order-1"/>
    <w:p>
      <w:pPr>
        <w:pStyle w:val="Heading3"/>
      </w:pPr>
      <w:r>
        <w:t xml:space="preserve">Exact Task Order</w:t>
      </w:r>
    </w:p>
    <w:p>
      <w:pPr>
        <w:pStyle w:val="Compact"/>
        <w:numPr>
          <w:ilvl w:val="0"/>
          <w:numId w:val="1013"/>
        </w:numPr>
      </w:pPr>
      <w:r>
        <w:t xml:space="preserve">Implement one stronger compact classical baseline</w:t>
      </w:r>
    </w:p>
    <w:p>
      <w:pPr>
        <w:pStyle w:val="Compact"/>
        <w:numPr>
          <w:ilvl w:val="0"/>
          <w:numId w:val="1013"/>
        </w:numPr>
      </w:pPr>
      <w:r>
        <w:t xml:space="preserve">Run a low-data scaling study before considering any second dataset</w:t>
      </w:r>
    </w:p>
    <w:p>
      <w:pPr>
        <w:pStyle w:val="Compact"/>
        <w:numPr>
          <w:ilvl w:val="0"/>
          <w:numId w:val="1013"/>
        </w:numPr>
      </w:pPr>
      <w:r>
        <w:t xml:space="preserve">Only if low-data results are weak or ambiguous, add a second dataset</w:t>
      </w:r>
    </w:p>
    <w:p>
      <w:pPr>
        <w:pStyle w:val="Compact"/>
        <w:numPr>
          <w:ilvl w:val="0"/>
          <w:numId w:val="1013"/>
        </w:numPr>
      </w:pPr>
      <w:r>
        <w:t xml:space="preserve">Only after those results exist, reassess whether any narrow regime claim for quantum competitiveness is defendable</w:t>
      </w:r>
    </w:p>
    <w:bookmarkEnd w:id="14"/>
    <w:bookmarkStart w:id="15" w:name="preferred-low-data-shortlist"/>
    <w:p>
      <w:pPr>
        <w:pStyle w:val="Heading3"/>
      </w:pPr>
      <w:r>
        <w:t xml:space="preserve">Preferred Low-Data Shortlist</w:t>
      </w:r>
    </w:p>
    <w:p>
      <w:pPr>
        <w:pStyle w:val="FirstParagraph"/>
      </w:pPr>
      <w:r>
        <w:t xml:space="preserve">The default low-data shortlist should compare: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thesis_cnniiii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thesis_hqnn2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classical_conv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non_trainable_quantum</w:t>
      </w:r>
    </w:p>
    <w:p>
      <w:pPr>
        <w:pStyle w:val="FirstParagraph"/>
      </w:pPr>
      <w:r>
        <w:t xml:space="preserve">Fractions:</w:t>
      </w:r>
    </w:p>
    <w:p>
      <w:pPr>
        <w:pStyle w:val="Compact"/>
        <w:numPr>
          <w:ilvl w:val="0"/>
          <w:numId w:val="1015"/>
        </w:numPr>
      </w:pPr>
      <w:r>
        <w:t xml:space="preserve">10%</w:t>
      </w:r>
    </w:p>
    <w:p>
      <w:pPr>
        <w:pStyle w:val="Compact"/>
        <w:numPr>
          <w:ilvl w:val="0"/>
          <w:numId w:val="1015"/>
        </w:numPr>
      </w:pPr>
      <w:r>
        <w:t xml:space="preserve">25%</w:t>
      </w:r>
    </w:p>
    <w:p>
      <w:pPr>
        <w:pStyle w:val="Compact"/>
        <w:numPr>
          <w:ilvl w:val="0"/>
          <w:numId w:val="1015"/>
        </w:numPr>
      </w:pPr>
      <w:r>
        <w:t xml:space="preserve">50%</w:t>
      </w:r>
    </w:p>
    <w:p>
      <w:pPr>
        <w:pStyle w:val="Compact"/>
        <w:numPr>
          <w:ilvl w:val="0"/>
          <w:numId w:val="1015"/>
        </w:numPr>
      </w:pPr>
      <w:r>
        <w:t xml:space="preserve">100%</w:t>
      </w:r>
    </w:p>
    <w:p>
      <w:pPr>
        <w:pStyle w:val="FirstParagraph"/>
      </w:pPr>
      <w:r>
        <w:t xml:space="preserve">Execution rule:</w:t>
      </w:r>
    </w:p>
    <w:p>
      <w:pPr>
        <w:pStyle w:val="Compact"/>
        <w:numPr>
          <w:ilvl w:val="0"/>
          <w:numId w:val="1016"/>
        </w:numPr>
      </w:pPr>
      <w:r>
        <w:t xml:space="preserve">start with a pilot pass</w:t>
      </w:r>
    </w:p>
    <w:p>
      <w:pPr>
        <w:pStyle w:val="Compact"/>
        <w:numPr>
          <w:ilvl w:val="0"/>
          <w:numId w:val="1016"/>
        </w:numPr>
      </w:pPr>
      <w:r>
        <w:t xml:space="preserve">only expand to full multi-seed if the pilot suggests a meaningful regime difference</w:t>
      </w:r>
    </w:p>
    <w:bookmarkEnd w:id="15"/>
    <w:bookmarkEnd w:id="16"/>
    <w:bookmarkStart w:id="17" w:name="X9befe1f93ecabe8221fa28f9ab21320bd7dbf19"/>
    <w:p>
      <w:pPr>
        <w:pStyle w:val="Heading2"/>
      </w:pPr>
      <w:r>
        <w:t xml:space="preserve">4. Compute Policy</w:t>
      </w:r>
    </w:p>
    <w:p>
      <w:pPr>
        <w:pStyle w:val="Compact"/>
        <w:numPr>
          <w:ilvl w:val="0"/>
          <w:numId w:val="1017"/>
        </w:numPr>
      </w:pPr>
      <w:r>
        <w:t xml:space="preserve">Keep Mac work for M4-feasible benchmark and documentation tasks.</w:t>
      </w:r>
    </w:p>
    <w:p>
      <w:pPr>
        <w:pStyle w:val="Compact"/>
        <w:numPr>
          <w:ilvl w:val="0"/>
          <w:numId w:val="1017"/>
        </w:numPr>
      </w:pPr>
      <w:r>
        <w:t xml:space="preserve">Spend Colab compute units first on the V7 confirmatory rerun.</w:t>
      </w:r>
    </w:p>
    <w:p>
      <w:pPr>
        <w:pStyle w:val="Compact"/>
        <w:numPr>
          <w:ilvl w:val="0"/>
          <w:numId w:val="1017"/>
        </w:numPr>
      </w:pPr>
      <w:r>
        <w:t xml:space="preserve">Do not spend Colab units on work already completed under the publication benchmark protocol.</w:t>
      </w:r>
    </w:p>
    <w:p>
      <w:pPr>
        <w:pStyle w:val="Compact"/>
        <w:numPr>
          <w:ilvl w:val="0"/>
          <w:numId w:val="1017"/>
        </w:numPr>
      </w:pPr>
      <w:r>
        <w:t xml:space="preserve">Delay broader extension work until the V7 rerun and manuscript synchronization are complete.</w:t>
      </w:r>
    </w:p>
    <w:bookmarkEnd w:id="17"/>
    <w:bookmarkStart w:id="18" w:name="X430ef8130e9dabdbff8aea5a29e640c24107e5c"/>
    <w:p>
      <w:pPr>
        <w:pStyle w:val="Heading2"/>
      </w:pPr>
      <w:r>
        <w:t xml:space="preserve">5. Current Stop Conditions</w:t>
      </w:r>
    </w:p>
    <w:p>
      <w:pPr>
        <w:pStyle w:val="FirstParagraph"/>
      </w:pPr>
      <w:r>
        <w:t xml:space="preserve">Stop expanding the trainable-quantum branch if:</w:t>
      </w:r>
    </w:p>
    <w:p>
      <w:pPr>
        <w:pStyle w:val="Compact"/>
        <w:numPr>
          <w:ilvl w:val="0"/>
          <w:numId w:val="1018"/>
        </w:numPr>
      </w:pPr>
      <w:r>
        <w:t xml:space="preserve">the fresh V7 rerun remains clearly below the strongest classical anchors, and</w:t>
      </w:r>
    </w:p>
    <w:p>
      <w:pPr>
        <w:pStyle w:val="Compact"/>
        <w:numPr>
          <w:ilvl w:val="0"/>
          <w:numId w:val="1018"/>
        </w:numPr>
      </w:pPr>
      <w:r>
        <w:t xml:space="preserve">the paper contribution is already defensible as a benchmark + engineering paper without more V7 seeds</w:t>
      </w:r>
    </w:p>
    <w:p>
      <w:pPr>
        <w:pStyle w:val="FirstParagraph"/>
      </w:pPr>
      <w:r>
        <w:t xml:space="preserve">Stop expanding the publication benchmark if:</w:t>
      </w:r>
    </w:p>
    <w:p>
      <w:pPr>
        <w:pStyle w:val="Compact"/>
        <w:numPr>
          <w:ilvl w:val="0"/>
          <w:numId w:val="1019"/>
        </w:numPr>
      </w:pPr>
      <w:r>
        <w:t xml:space="preserve">the next added baseline does not materially change reviewer resilience, or</w:t>
      </w:r>
    </w:p>
    <w:p>
      <w:pPr>
        <w:pStyle w:val="Compact"/>
        <w:numPr>
          <w:ilvl w:val="0"/>
          <w:numId w:val="1019"/>
        </w:numPr>
      </w:pPr>
      <w:r>
        <w:t xml:space="preserve">the new result does not improve the paper narrative enough to justify the engineering time</w:t>
      </w:r>
    </w:p>
    <w:bookmarkEnd w:id="18"/>
    <w:bookmarkStart w:id="19" w:name="X1150687e403e4474f664b3e7af0f3977fc50063"/>
    <w:p>
      <w:pPr>
        <w:pStyle w:val="Heading2"/>
      </w:pPr>
      <w:r>
        <w:t xml:space="preserve">6. Current Default Conclusion</w:t>
      </w:r>
    </w:p>
    <w:p>
      <w:pPr>
        <w:pStyle w:val="FirstParagraph"/>
      </w:pPr>
      <w:r>
        <w:t xml:space="preserve">Until new evidence changes it, the repo should operate under this conclusion:</w:t>
      </w:r>
    </w:p>
    <w:p>
      <w:pPr>
        <w:pStyle w:val="Compact"/>
        <w:numPr>
          <w:ilvl w:val="0"/>
          <w:numId w:val="1020"/>
        </w:numPr>
      </w:pPr>
      <w:r>
        <w:t xml:space="preserve">strongest thesis-faithful evidence:</w:t>
      </w:r>
      <w:r>
        <w:t xml:space="preserve"> </w:t>
      </w:r>
      <w:r>
        <w:rPr>
          <w:rStyle w:val="VerbatimChar"/>
        </w:rPr>
        <w:t xml:space="preserve">thesis_cnniiii</w:t>
      </w:r>
    </w:p>
    <w:p>
      <w:pPr>
        <w:pStyle w:val="Compact"/>
        <w:numPr>
          <w:ilvl w:val="0"/>
          <w:numId w:val="1020"/>
        </w:numPr>
      </w:pPr>
      <w:r>
        <w:t xml:space="preserve">strongest current-local matched-budget evidence:</w:t>
      </w:r>
      <w:r>
        <w:t xml:space="preserve"> </w:t>
      </w:r>
      <w:r>
        <w:rPr>
          <w:rStyle w:val="VerbatimChar"/>
        </w:rPr>
        <w:t xml:space="preserve">classical_conv</w:t>
      </w:r>
    </w:p>
    <w:p>
      <w:pPr>
        <w:pStyle w:val="Compact"/>
        <w:numPr>
          <w:ilvl w:val="0"/>
          <w:numId w:val="1020"/>
        </w:numPr>
      </w:pPr>
      <w:r>
        <w:t xml:space="preserve">strongest current trainable-quantum value: engineering insight, not benchmark leadership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2026-04-05T21:23:06Z</dcterms:created>
  <dcterms:modified xsi:type="dcterms:W3CDTF">2026-04-05T21:23:06Z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