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literature-contribution"/>
    <w:p>
      <w:pPr>
        <w:pStyle w:val="Heading1"/>
      </w:pPr>
      <w:r>
        <w:t xml:space="preserve">Literature Contribution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17, 2026</w:t>
      </w:r>
    </w:p>
    <w:p>
      <w:pPr>
        <w:pStyle w:val="BodyText"/>
      </w:pPr>
      <w:r>
        <w:t xml:space="preserve">This note summarizes the literature-facing contribution of the study without overstating the quantum claim.</w:t>
      </w:r>
    </w:p>
    <w:bookmarkStart w:id="9" w:name="core-position"/>
    <w:p>
      <w:pPr>
        <w:pStyle w:val="Heading2"/>
      </w:pPr>
      <w:r>
        <w:t xml:space="preserve">Core Position</w:t>
      </w:r>
    </w:p>
    <w:p>
      <w:pPr>
        <w:pStyle w:val="FirstParagraph"/>
      </w:pPr>
      <w:r>
        <w:t xml:space="preserve">The paper should be positioned as a reproducible benchmark and hybrid-QML engineering study, not as a generic quantum-advantage paper.</w:t>
      </w:r>
    </w:p>
    <w:p>
      <w:pPr>
        <w:pStyle w:val="BodyText"/>
      </w:pPr>
      <w:r>
        <w:t xml:space="preserve">The contribution is that the study makes the quantum OCR hypothesis more scientifically precise:</w:t>
      </w:r>
    </w:p>
    <w:p>
      <w:pPr>
        <w:pStyle w:val="Compact"/>
        <w:numPr>
          <w:ilvl w:val="0"/>
          <w:numId w:val="1001"/>
        </w:numPr>
      </w:pPr>
      <w:r>
        <w:t xml:space="preserve">where quantum variants do not win under full-data reproducible benchmarking,</w:t>
      </w:r>
    </w:p>
    <w:p>
      <w:pPr>
        <w:pStyle w:val="Compact"/>
        <w:numPr>
          <w:ilvl w:val="0"/>
          <w:numId w:val="1001"/>
        </w:numPr>
      </w:pPr>
      <w:r>
        <w:t xml:space="preserve">where one non-trainable quantum preprocessing baseline becomes narrowly competitive in a current-local low-data regime,</w:t>
      </w:r>
    </w:p>
    <w:p>
      <w:pPr>
        <w:pStyle w:val="Compact"/>
        <w:numPr>
          <w:ilvl w:val="0"/>
          <w:numId w:val="1001"/>
        </w:numPr>
      </w:pPr>
      <w:r>
        <w:t xml:space="preserve">and which engineering constraints determine whether trainable quanvolution learns or collapses.</w:t>
      </w:r>
    </w:p>
    <w:bookmarkEnd w:id="9"/>
    <w:bookmarkStart w:id="10" w:name="Xaa4c56cd74b0c4dd2d1818c7d5e79ff1d4c4bab"/>
    <w:p>
      <w:pPr>
        <w:pStyle w:val="Heading2"/>
      </w:pPr>
      <w:r>
        <w:t xml:space="preserve">Contribution To Quanvolutional Neural Network Literature</w:t>
      </w:r>
    </w:p>
    <w:p>
      <w:pPr>
        <w:pStyle w:val="FirstParagraph"/>
      </w:pPr>
      <w:r>
        <w:t xml:space="preserve">Most quanvolutional studies are easy to misread if all quantum models and all classical baselines are collapsed into one leaderboard. This study contributes a cleaner evidence structure:</w:t>
      </w:r>
    </w:p>
    <w:p>
      <w:pPr>
        <w:pStyle w:val="Compact"/>
        <w:numPr>
          <w:ilvl w:val="0"/>
          <w:numId w:val="1002"/>
        </w:numPr>
      </w:pPr>
      <w:r>
        <w:t xml:space="preserve">thesis-faithful CNN/HQNN reproductions,</w:t>
      </w:r>
    </w:p>
    <w:p>
      <w:pPr>
        <w:pStyle w:val="Compact"/>
        <w:numPr>
          <w:ilvl w:val="0"/>
          <w:numId w:val="1002"/>
        </w:numPr>
      </w:pPr>
      <w:r>
        <w:t xml:space="preserve">current-local matched-budget ablations,</w:t>
      </w:r>
    </w:p>
    <w:p>
      <w:pPr>
        <w:pStyle w:val="Compact"/>
        <w:numPr>
          <w:ilvl w:val="0"/>
          <w:numId w:val="1002"/>
        </w:numPr>
      </w:pPr>
      <w:r>
        <w:t xml:space="preserve">a stronger modern-classical upper bound,</w:t>
      </w:r>
    </w:p>
    <w:p>
      <w:pPr>
        <w:pStyle w:val="Compact"/>
        <w:numPr>
          <w:ilvl w:val="0"/>
          <w:numId w:val="1002"/>
        </w:numPr>
      </w:pPr>
      <w:r>
        <w:t xml:space="preserve">a low-data scaling axis,</w:t>
      </w:r>
    </w:p>
    <w:p>
      <w:pPr>
        <w:pStyle w:val="Compact"/>
        <w:numPr>
          <w:ilvl w:val="0"/>
          <w:numId w:val="1002"/>
        </w:numPr>
      </w:pPr>
      <w:r>
        <w:t xml:space="preserve">and a trainable-quantum engineering case-study.</w:t>
      </w:r>
    </w:p>
    <w:p>
      <w:pPr>
        <w:pStyle w:val="FirstParagraph"/>
      </w:pPr>
      <w:r>
        <w:t xml:space="preserve">This family separation is itself a methodological contribution. It prevents unsupported comparisons such as treating</w:t>
      </w:r>
      <w:r>
        <w:t xml:space="preserve"> </w:t>
      </w:r>
      <w:r>
        <w:rPr>
          <w:rStyle w:val="VerbatimChar"/>
        </w:rPr>
        <w:t xml:space="preserve">thesis_hqnn2</w:t>
      </w:r>
      <w:r>
        <w:t xml:space="preserve">,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, and V7 as one interchangeable "quantum model" category.</w:t>
      </w:r>
    </w:p>
    <w:bookmarkEnd w:id="10"/>
    <w:bookmarkStart w:id="11" w:name="contribution-to-qml-benchmarking"/>
    <w:p>
      <w:pPr>
        <w:pStyle w:val="Heading2"/>
      </w:pPr>
      <w:r>
        <w:t xml:space="preserve">Contribution To QML Benchmarking</w:t>
      </w:r>
    </w:p>
    <w:p>
      <w:pPr>
        <w:pStyle w:val="FirstParagraph"/>
      </w:pPr>
      <w:r>
        <w:t xml:space="preserve">The full-data result is a disciplined negative result: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resnet18_cifar_gray</w:t>
      </w:r>
      <w:r>
        <w:t xml:space="preserve"> </w:t>
      </w:r>
      <w:r>
        <w:t xml:space="preserve">is strongest overall at</w:t>
      </w:r>
      <w:r>
        <w:t xml:space="preserve"> </w:t>
      </w:r>
      <w:r>
        <w:rPr>
          <w:rStyle w:val="VerbatimChar"/>
        </w:rPr>
        <w:t xml:space="preserve">88.13 ± 0.82%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thesis_cnniiii</w:t>
      </w:r>
      <w:r>
        <w:t xml:space="preserve"> </w:t>
      </w:r>
      <w:r>
        <w:t xml:space="preserve">is strongest thesis-faithful at</w:t>
      </w:r>
      <w:r>
        <w:t xml:space="preserve"> </w:t>
      </w:r>
      <w:r>
        <w:rPr>
          <w:rStyle w:val="VerbatimChar"/>
        </w:rPr>
        <w:t xml:space="preserve">85.26 ± 0.97%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classical_conv</w:t>
      </w:r>
      <w:r>
        <w:t xml:space="preserve"> </w:t>
      </w:r>
      <w:r>
        <w:t xml:space="preserve">is strongest current-local full-data matched-budget at</w:t>
      </w:r>
      <w:r>
        <w:t xml:space="preserve"> </w:t>
      </w:r>
      <w:r>
        <w:rPr>
          <w:rStyle w:val="VerbatimChar"/>
        </w:rPr>
        <w:t xml:space="preserve">81.40 ± 1.06%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non_trainable_quantum</w:t>
      </w:r>
      <w:r>
        <w:t xml:space="preserve"> </w:t>
      </w:r>
      <w:r>
        <w:t xml:space="preserve">is close but not the full-data current-local leader at</w:t>
      </w:r>
      <w:r>
        <w:t xml:space="preserve"> </w:t>
      </w:r>
      <w:r>
        <w:rPr>
          <w:rStyle w:val="VerbatimChar"/>
        </w:rPr>
        <w:t xml:space="preserve">80.40 ± 0.69%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V7 trainable quantum remains below the classical anchors and is treated as an engineering case-study.</w:t>
      </w:r>
    </w:p>
    <w:p>
      <w:pPr>
        <w:pStyle w:val="FirstParagraph"/>
      </w:pPr>
      <w:r>
        <w:t xml:space="preserve">This contributes to the benchmarking literature by showing how the claim changes when stronger classical baselines, multi-seed reporting, and artifact-backed logs are used. The paper's value is partly that it refuses to turn a weak or partial result into a broad quantum-win narrative.</w:t>
      </w:r>
    </w:p>
    <w:bookmarkEnd w:id="11"/>
    <w:bookmarkStart w:id="12" w:name="contribution-to-hybrid-qml-engineering"/>
    <w:p>
      <w:pPr>
        <w:pStyle w:val="Heading2"/>
      </w:pPr>
      <w:r>
        <w:t xml:space="preserve">Contribution To Hybrid QML Engineering</w:t>
      </w:r>
    </w:p>
    <w:p>
      <w:pPr>
        <w:pStyle w:val="FirstParagraph"/>
      </w:pPr>
      <w:r>
        <w:t xml:space="preserve">The V1--V7 path contributes practical engineering evidence:</w:t>
      </w:r>
    </w:p>
    <w:p>
      <w:pPr>
        <w:pStyle w:val="Compact"/>
        <w:numPr>
          <w:ilvl w:val="0"/>
          <w:numId w:val="1004"/>
        </w:numPr>
      </w:pPr>
      <w:r>
        <w:t xml:space="preserve">feature maps below 8x8 caused information bottleneck failure on this 44-class task,</w:t>
      </w:r>
    </w:p>
    <w:p>
      <w:pPr>
        <w:pStyle w:val="Compact"/>
        <w:numPr>
          <w:ilvl w:val="0"/>
          <w:numId w:val="1004"/>
        </w:numPr>
      </w:pPr>
      <w:r>
        <w:t xml:space="preserve">gradient routing, residual structure, channel attention, and learnable scaling were needed before the trainable quantum path became viable,</w:t>
      </w:r>
    </w:p>
    <w:p>
      <w:pPr>
        <w:pStyle w:val="Compact"/>
        <w:numPr>
          <w:ilvl w:val="0"/>
          <w:numId w:val="1004"/>
        </w:numPr>
      </w:pPr>
      <w:r>
        <w:t xml:space="preserve">AMP float16 autocasting at the quantum boundary caused NaN corruption unless float32 was restored and GradScaler-aware stepping was used,</w:t>
      </w:r>
    </w:p>
    <w:p>
      <w:pPr>
        <w:pStyle w:val="Compact"/>
        <w:numPr>
          <w:ilvl w:val="0"/>
          <w:numId w:val="1004"/>
        </w:numPr>
      </w:pPr>
      <w:r>
        <w:t xml:space="preserve">Colab reruns show V7 can train without NaN collapse, but not that it is an accuracy leader.</w:t>
      </w:r>
    </w:p>
    <w:p>
      <w:pPr>
        <w:pStyle w:val="FirstParagraph"/>
      </w:pPr>
      <w:r>
        <w:t xml:space="preserve">These are reusable lessons for hybrid QML practitioners because they describe failure modes that are easy to miss if only final accuracy is reported.</w:t>
      </w:r>
    </w:p>
    <w:bookmarkEnd w:id="12"/>
    <w:bookmarkStart w:id="13" w:name="Xd4e2517d3d383b09deddec21547b94d676bc951"/>
    <w:p>
      <w:pPr>
        <w:pStyle w:val="Heading2"/>
      </w:pPr>
      <w:r>
        <w:t xml:space="preserve">Contribution To Ottoman-Turkish OCR / Cultural Heritage Computing</w:t>
      </w:r>
    </w:p>
    <w:p>
      <w:pPr>
        <w:pStyle w:val="FirstParagraph"/>
      </w:pPr>
      <w:r>
        <w:t xml:space="preserve">The paper turns a thesis-era Ottoman-Turkish handwritten character recognition study into a stricter reproducible benchmark:</w:t>
      </w:r>
    </w:p>
    <w:p>
      <w:pPr>
        <w:pStyle w:val="Compact"/>
        <w:numPr>
          <w:ilvl w:val="0"/>
          <w:numId w:val="1005"/>
        </w:numPr>
      </w:pPr>
      <w:r>
        <w:t xml:space="preserve">fixed thesis-era train/test continuity,</w:t>
      </w:r>
    </w:p>
    <w:p>
      <w:pPr>
        <w:pStyle w:val="Compact"/>
        <w:numPr>
          <w:ilvl w:val="0"/>
          <w:numId w:val="1005"/>
        </w:numPr>
      </w:pPr>
      <w:r>
        <w:t xml:space="preserve">44-class small-data OCR setting,</w:t>
      </w:r>
    </w:p>
    <w:p>
      <w:pPr>
        <w:pStyle w:val="Compact"/>
        <w:numPr>
          <w:ilvl w:val="0"/>
          <w:numId w:val="1005"/>
        </w:numPr>
      </w:pPr>
      <w:r>
        <w:t xml:space="preserve">multi-seed reruns for key models,</w:t>
      </w:r>
    </w:p>
    <w:p>
      <w:pPr>
        <w:pStyle w:val="Compact"/>
        <w:numPr>
          <w:ilvl w:val="0"/>
          <w:numId w:val="1005"/>
        </w:numPr>
      </w:pPr>
      <w:r>
        <w:t xml:space="preserve">stronger modern classical control,</w:t>
      </w:r>
    </w:p>
    <w:p>
      <w:pPr>
        <w:pStyle w:val="Compact"/>
        <w:numPr>
          <w:ilvl w:val="0"/>
          <w:numId w:val="1005"/>
        </w:numPr>
      </w:pPr>
      <w:r>
        <w:t xml:space="preserve">low-data scaling analysis,</w:t>
      </w:r>
    </w:p>
    <w:p>
      <w:pPr>
        <w:pStyle w:val="Compact"/>
        <w:numPr>
          <w:ilvl w:val="0"/>
          <w:numId w:val="1005"/>
        </w:numPr>
      </w:pPr>
      <w:r>
        <w:t xml:space="preserve">and a clear distinction between historical thesis claims and current artifact-backed evidence.</w:t>
      </w:r>
    </w:p>
    <w:p>
      <w:pPr>
        <w:pStyle w:val="FirstParagraph"/>
      </w:pPr>
      <w:r>
        <w:t xml:space="preserve">For cultural-heritage OCR, the contribution is not only the best accuracy row. It is the construction of a more reliable benchmark story around a small, historically meaningful script-recognition task.</w:t>
      </w:r>
    </w:p>
    <w:bookmarkEnd w:id="13"/>
    <w:bookmarkStart w:id="14" w:name="low-data-contribution"/>
    <w:p>
      <w:pPr>
        <w:pStyle w:val="Heading2"/>
      </w:pPr>
      <w:r>
        <w:t xml:space="preserve">Low-Data Contribution</w:t>
      </w:r>
    </w:p>
    <w:p>
      <w:pPr>
        <w:pStyle w:val="FirstParagraph"/>
      </w:pPr>
      <w:r>
        <w:t xml:space="preserve">The May 2026 low-data confirmation adds the main positive quantum nuance: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classical_conv</w:t>
            </w:r>
            <w:r>
              <w:t xml:space="preserve"> </w:t>
            </w: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 </w:t>
            </w: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Quantum Lead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48.42 ± 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50.71 ± 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66.24 ± 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69.88 ± 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75.61 ± 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76.75 ±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80.47 ± 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80.76 ± 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+0.29</w:t>
            </w:r>
          </w:p>
        </w:tc>
      </w:tr>
    </w:tbl>
    <w:p>
      <w:pPr>
        <w:pStyle w:val="BodyText"/>
      </w:pPr>
      <w:r>
        <w:t xml:space="preserve">This is a scoped current-local signal. It should be described as low-data competitiveness for one non-trainable quantum preprocessing baseline, not as a result that generalizes to thesis HQNN-II, V7, quantum hardware, or other datasets.</w:t>
      </w:r>
    </w:p>
    <w:bookmarkEnd w:id="14"/>
    <w:bookmarkStart w:id="15" w:name="one-sentence-literature-claim"/>
    <w:p>
      <w:pPr>
        <w:pStyle w:val="Heading2"/>
      </w:pPr>
      <w:r>
        <w:t xml:space="preserve">One-Sentence Literature Claim</w:t>
      </w:r>
    </w:p>
    <w:p>
      <w:pPr>
        <w:pStyle w:val="FirstParagraph"/>
      </w:pPr>
      <w:r>
        <w:t xml:space="preserve">This work contributes an artifact-backed, family-separated benchmark of quanvolutional models on a small Ottoman-Turkish OCR task, showing classical-favored full-data results, a narrow current-local low-data quantum competitiveness signal, and concrete hybrid-QML engineering failure modes that future studies can reproduce or challenge.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2026-05-17T07:09:20Z</dcterms:created>
  <dcterms:modified xsi:type="dcterms:W3CDTF">2026-05-17T07:09:20Z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