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tatistical-evidence-summary"/>
    <w:p>
      <w:pPr>
        <w:pStyle w:val="Heading1"/>
      </w:pPr>
      <w:r>
        <w:t xml:space="preserve">Statistical Evidence Summary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17, 2026</w:t>
      </w:r>
    </w:p>
    <w:p>
      <w:pPr>
        <w:pStyle w:val="BodyText"/>
      </w:pPr>
      <w:r>
        <w:t xml:space="preserve">This report is generated from repository benchmark artifacts. It is intended to support manuscript wording, not to create stronger claims than the artifacts justify.</w:t>
      </w:r>
    </w:p>
    <w:bookmarkStart w:id="9" w:name="method-notes"/>
    <w:p>
      <w:pPr>
        <w:pStyle w:val="Heading2"/>
      </w:pPr>
      <w:r>
        <w:t xml:space="preserve">Method Notes</w:t>
      </w:r>
    </w:p>
    <w:p>
      <w:pPr>
        <w:pStyle w:val="Compact"/>
        <w:numPr>
          <w:ilvl w:val="0"/>
          <w:numId w:val="1001"/>
        </w:numPr>
      </w:pPr>
      <w:r>
        <w:t xml:space="preserve">95% confidence intervals use the Student t distribution around the reported mean test accuracy.</w:t>
      </w:r>
    </w:p>
    <w:p>
      <w:pPr>
        <w:pStyle w:val="Compact"/>
        <w:numPr>
          <w:ilvl w:val="0"/>
          <w:numId w:val="1001"/>
        </w:numPr>
      </w:pPr>
      <w:r>
        <w:t xml:space="preserve">Pairwise rows use two-sided Welch tests and standardized mean differences from summary statistics.</w:t>
      </w:r>
    </w:p>
    <w:p>
      <w:pPr>
        <w:pStyle w:val="Compact"/>
        <w:numPr>
          <w:ilvl w:val="0"/>
          <w:numId w:val="1001"/>
        </w:numPr>
      </w:pPr>
      <w:r>
        <w:t xml:space="preserve">Because most multi-seed groups have only</w:t>
      </w:r>
      <w:r>
        <w:t xml:space="preserve"> </w:t>
      </w:r>
      <w:r>
        <w:rPr>
          <w:rStyle w:val="VerbatimChar"/>
        </w:rPr>
        <w:t xml:space="preserve">n=3</w:t>
      </w:r>
      <w:r>
        <w:t xml:space="preserve">, p-values are descriptive reviewer aids rather than definitive inferential evidence.</w:t>
      </w:r>
    </w:p>
    <w:p>
      <w:pPr>
        <w:pStyle w:val="Compact"/>
        <w:numPr>
          <w:ilvl w:val="0"/>
          <w:numId w:val="1001"/>
        </w:numPr>
      </w:pPr>
      <w:r>
        <w:t xml:space="preserve">Low-data current-local tests are approximate because seed-43 and seed-44 raw JSON files are Drive-backed remote artifacts; the local repository currently stores the confirmed aggregate summary and Drive manifest.</w:t>
      </w:r>
    </w:p>
    <w:p>
      <w:pPr>
        <w:pStyle w:val="Compact"/>
        <w:numPr>
          <w:ilvl w:val="0"/>
          <w:numId w:val="1001"/>
        </w:numPr>
      </w:pPr>
      <w:r>
        <w:t xml:space="preserve">Thesis-faithful low-data rows are seed-42 pilot evidence only, so no confidence interval or significance test is reported for that axis.</w:t>
      </w:r>
    </w:p>
    <w:bookmarkEnd w:id="9"/>
    <w:bookmarkStart w:id="10" w:name="full-data-test-accuracy-intervals"/>
    <w:p>
      <w:pPr>
        <w:pStyle w:val="Heading2"/>
      </w:pPr>
      <w:r>
        <w:t xml:space="preserve">Full-Data Test Accuracy Intervals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Runs</w:t>
            </w:r>
          </w:p>
        </w:tc>
        <w:tc>
          <w:tcPr/>
          <w:p>
            <w:pPr>
              <w:pStyle w:val="Compac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trainable-quantum-case-study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V7_trainable_quantum_clean_20260427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65.88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trainable-quantum-case-study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V7_trainable_quantum_documented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65.02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trainable-quantum-case-study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V7_trainable_quantum_rerun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72.53 ± 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81.40 ± 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[78.77, 84.03]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80.40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[78.69, 82.11]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81.12 ± 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[75.48, 86.76]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modern-classical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88.13 ± 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[86.09, 90.17]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79.33 ± 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[76.20, 82.46]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85.26 ± 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[82.85, 87.67]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42,43,44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78.61 ± 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[76.90, 80.32]</w:t>
            </w:r>
          </w:p>
        </w:tc>
      </w:tr>
    </w:tbl>
    <w:bookmarkEnd w:id="10"/>
    <w:bookmarkStart w:id="11" w:name="full-data-pairwise-comparisons"/>
    <w:p>
      <w:pPr>
        <w:pStyle w:val="Heading2"/>
      </w:pPr>
      <w:r>
        <w:t xml:space="preserve">Full-Data Pairwise Comparisons</w:t>
      </w:r>
    </w:p>
    <w:p>
      <w:pPr>
        <w:pStyle w:val="FirstParagraph"/>
      </w:pPr>
      <w:r>
        <w:t xml:space="preserve">Positive differences mean the left model has higher mean test accuracy.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Left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 best classical vs best quantum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[4.66, 8.64]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thesis-faithful CNN-III vs HQNN-II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thesis_hqnn2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[-1.87, 3.31]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 strongest classical vs non-trainable quantum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[-1.17, 3.17]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 matched linear replacement vs non-trainable quantum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non_trainable_quantum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[-4.38, 5.82]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current-local convolution vs matched linear replacement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[-4.48, 5.04]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classical upper bound vs thesis-faithful best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thesis_cnniiii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[0.81, 4.93]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classical upper bound vs current-local best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resnet18_cifar_gray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classical_conv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[4.53, 8.93]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left higher on mean test accuracy</w:t>
            </w:r>
          </w:p>
        </w:tc>
      </w:tr>
    </w:tbl>
    <w:bookmarkEnd w:id="11"/>
    <w:bookmarkStart w:id="12" w:name="X5187b84f372050a03b9b8a62d6ca6cedbfbbe15"/>
    <w:p>
      <w:pPr>
        <w:pStyle w:val="Heading2"/>
      </w:pPr>
      <w:r>
        <w:t xml:space="preserve">Low-Data Current-Local Pairwise Comparisons</w:t>
      </w:r>
    </w:p>
    <w:p>
      <w:pPr>
        <w:pStyle w:val="FirstParagraph"/>
      </w:pPr>
      <w:r>
        <w:t xml:space="preserve">Positive differences mean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 </w:t>
      </w:r>
      <w:r>
        <w:t xml:space="preserve">has higher mean test accuracy than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Quantum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Classical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p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50.71 ± 2.93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48.42 ± 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[-3.82, 8.40]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  <w:tc>
          <w:tcPr/>
          <w:p>
            <w:pPr>
              <w:pStyle w:val="Compact"/>
            </w:pPr>
            <w:r>
              <w:t xml:space="preserve">quantum higher on mean test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69.88 ±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66.24 ± 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[-0.02, 7.30]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</w:pPr>
            <w:r>
              <w:t xml:space="preserve">quantum higher on mean test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76.75 ±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75.61 ± 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[-0.98, 3.26]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0.183</w:t>
            </w:r>
          </w:p>
        </w:tc>
        <w:tc>
          <w:tcPr/>
          <w:p>
            <w:pPr>
              <w:pStyle w:val="Compact"/>
            </w:pPr>
            <w:r>
              <w:t xml:space="preserve">quantum higher on mean test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80.76 ± 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80.47 ± 0.57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[-1.74, 2.32]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0.688</w:t>
            </w:r>
          </w:p>
        </w:tc>
        <w:tc>
          <w:tcPr/>
          <w:p>
            <w:pPr>
              <w:pStyle w:val="Compact"/>
            </w:pPr>
            <w:r>
              <w:t xml:space="preserve">quantum higher on mean test accuracy</w:t>
            </w:r>
          </w:p>
        </w:tc>
      </w:tr>
    </w:tbl>
    <w:bookmarkEnd w:id="12"/>
    <w:bookmarkStart w:id="13" w:name="manuscript-safe-interpretation"/>
    <w:p>
      <w:pPr>
        <w:pStyle w:val="Heading2"/>
      </w:pPr>
      <w:r>
        <w:t xml:space="preserve">Manuscript-Safe Interpretation</w:t>
      </w:r>
    </w:p>
    <w:p>
      <w:pPr>
        <w:pStyle w:val="Compact"/>
        <w:numPr>
          <w:ilvl w:val="0"/>
          <w:numId w:val="1002"/>
        </w:numPr>
      </w:pPr>
      <w:r>
        <w:t xml:space="preserve">Full-data RQ1 remains classical-favored: the largest and most stable leads belong to</w:t>
      </w:r>
      <w:r>
        <w:t xml:space="preserve"> </w:t>
      </w:r>
      <w:r>
        <w:rPr>
          <w:rStyle w:val="VerbatimChar"/>
        </w:rPr>
        <w:t xml:space="preserve">resnet18_cifar_gray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thesis_cnniiii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Current-local full-data differences among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param_linear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 </w:t>
      </w:r>
      <w:r>
        <w:t xml:space="preserve">are small relative to the low</w:t>
      </w:r>
      <w:r>
        <w:t xml:space="preserve"> </w:t>
      </w:r>
      <w:r>
        <w:rPr>
          <w:rStyle w:val="VerbatimChar"/>
        </w:rPr>
        <w:t xml:space="preserve">n=3</w:t>
      </w:r>
      <w:r>
        <w:t xml:space="preserve"> </w:t>
      </w:r>
      <w:r>
        <w:t xml:space="preserve">uncertainty.</w:t>
      </w:r>
    </w:p>
    <w:p>
      <w:pPr>
        <w:pStyle w:val="Compact"/>
        <w:numPr>
          <w:ilvl w:val="0"/>
          <w:numId w:val="1002"/>
        </w:numPr>
      </w:pPr>
      <w:r>
        <w:t xml:space="preserve">The May 2026 low-data result supports a narrow current-local signal for</w:t>
      </w:r>
      <w:r>
        <w:t xml:space="preserve"> </w:t>
      </w:r>
      <w:r>
        <w:rPr>
          <w:rStyle w:val="VerbatimChar"/>
        </w:rPr>
        <w:t xml:space="preserve">non_trainable_quantum</w:t>
      </w:r>
      <w:r>
        <w:t xml:space="preserve">, strongest at the 25% fraction and weakest at full data.</w:t>
      </w:r>
    </w:p>
    <w:p>
      <w:pPr>
        <w:pStyle w:val="Compact"/>
        <w:numPr>
          <w:ilvl w:val="0"/>
          <w:numId w:val="1002"/>
        </w:numPr>
      </w:pPr>
      <w:r>
        <w:t xml:space="preserve">No row in this report supports a generic quantum-advantage claim.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2026-05-17T07:01:40Z</dcterms:created>
  <dcterms:modified xsi:type="dcterms:W3CDTF">2026-05-17T07:01:40Z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