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ubmission-packet"/>
    <w:p>
      <w:pPr>
        <w:pStyle w:val="Heading1"/>
      </w:pPr>
      <w:r>
        <w:t xml:space="preserve">Submission Packet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16, 2026</w:t>
      </w:r>
    </w:p>
    <w:p>
      <w:pPr>
        <w:pStyle w:val="BodyText"/>
      </w:pPr>
      <w:r>
        <w:t xml:space="preserve">This manifest lists the current shareable paper/advisor package after the April 2026 V7 reruns, the May 2026 low-data confirmation, and the paper cleanup pass.</w:t>
      </w:r>
    </w:p>
    <w:bookmarkStart w:id="9" w:name="current-claim-set"/>
    <w:p>
      <w:pPr>
        <w:pStyle w:val="Heading2"/>
      </w:pPr>
      <w:r>
        <w:t xml:space="preserve">Current Claim Set</w:t>
      </w:r>
    </w:p>
    <w:p>
      <w:pPr>
        <w:pStyle w:val="Compact"/>
        <w:numPr>
          <w:ilvl w:val="0"/>
          <w:numId w:val="1001"/>
        </w:numPr>
      </w:pPr>
      <w:r>
        <w:t xml:space="preserve">Full-data benchmark hierarchy remains classical-favored.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resnet18_cifar_gray</w:t>
      </w:r>
      <w:r>
        <w:t xml:space="preserve"> </w:t>
      </w:r>
      <w:r>
        <w:t xml:space="preserve">is the strongest modern-classical upper bound:</w:t>
      </w:r>
      <w:r>
        <w:t xml:space="preserve"> </w:t>
      </w:r>
      <w:r>
        <w:rPr>
          <w:rStyle w:val="VerbatimChar"/>
        </w:rPr>
        <w:t xml:space="preserve">88.13 ± 0.82%</w:t>
      </w:r>
      <w:r>
        <w:t xml:space="preserve"> </w:t>
      </w:r>
      <w:r>
        <w:t xml:space="preserve">test.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thesis_cnniiii</w:t>
      </w:r>
      <w:r>
        <w:t xml:space="preserve"> </w:t>
      </w:r>
      <w:r>
        <w:t xml:space="preserve">is the strongest thesis-faithful reproduction:</w:t>
      </w:r>
      <w:r>
        <w:t xml:space="preserve"> </w:t>
      </w:r>
      <w:r>
        <w:rPr>
          <w:rStyle w:val="VerbatimChar"/>
        </w:rPr>
        <w:t xml:space="preserve">85.26 ± 0.97%</w:t>
      </w:r>
      <w:r>
        <w:t xml:space="preserve"> </w:t>
      </w:r>
      <w:r>
        <w:t xml:space="preserve">test.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classical_conv</w:t>
      </w:r>
      <w:r>
        <w:t xml:space="preserve"> </w:t>
      </w:r>
      <w:r>
        <w:t xml:space="preserve">is the strongest current-local full-data matched-budget model:</w:t>
      </w:r>
      <w:r>
        <w:t xml:space="preserve"> </w:t>
      </w:r>
      <w:r>
        <w:rPr>
          <w:rStyle w:val="VerbatimChar"/>
        </w:rPr>
        <w:t xml:space="preserve">81.40 ± 1.06%</w:t>
      </w:r>
      <w:r>
        <w:t xml:space="preserve"> </w:t>
      </w:r>
      <w:r>
        <w:t xml:space="preserve">test.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non_trainable_quantum</w:t>
      </w:r>
      <w:r>
        <w:t xml:space="preserve"> </w:t>
      </w:r>
      <w:r>
        <w:t xml:space="preserve">is not the full-data current-local leader, but the May 2026 low-data confirmation shows a narrow current-local competitiveness signal against</w:t>
      </w:r>
      <w:r>
        <w:t xml:space="preserve"> </w:t>
      </w:r>
      <w:r>
        <w:rPr>
          <w:rStyle w:val="VerbatimChar"/>
        </w:rPr>
        <w:t xml:space="preserve">classical_conv</w:t>
      </w:r>
      <w:r>
        <w:t xml:space="preserve"> </w:t>
      </w:r>
      <w:r>
        <w:t xml:space="preserve">across 10/25/50/100% train fractions.</w:t>
      </w:r>
    </w:p>
    <w:p>
      <w:pPr>
        <w:pStyle w:val="Compact"/>
        <w:numPr>
          <w:ilvl w:val="0"/>
          <w:numId w:val="1001"/>
        </w:numPr>
      </w:pPr>
      <w:r>
        <w:t xml:space="preserve">V7 is a trainable-quantum engineering case-study, not a benchmark leader.</w:t>
      </w:r>
    </w:p>
    <w:p>
      <w:pPr>
        <w:pStyle w:val="Compact"/>
        <w:numPr>
          <w:ilvl w:val="0"/>
          <w:numId w:val="1001"/>
        </w:numPr>
      </w:pPr>
      <w:r>
        <w:t xml:space="preserve">Do not claim generic quantum advantage.</w:t>
      </w:r>
    </w:p>
    <w:bookmarkEnd w:id="9"/>
    <w:bookmarkStart w:id="10" w:name="primary-files-to-share"/>
    <w:p>
      <w:pPr>
        <w:pStyle w:val="Heading2"/>
      </w:pPr>
      <w:r>
        <w:t xml:space="preserve">Primary Files To Share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 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paper/draft.md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paper 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paper/draft.docx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Low-data figure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paper/figures/low_data_scaling.pdf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Low-data figure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paper/figures/low_data_scaling.png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evidence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docs/STATISTICAL_EVIDENCE_2026-05-17.md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evidence Word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docs/STATISTICAL_EVIDENCE_2026-05-17.docx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Literature contribution 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docs/LITERATURE_CONTRIBUTION_2026-05-17.md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Literature contribution Word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docs/LITERATURE_CONTRIBUTION_2026-05-17.docx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readiness checklist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docs/SUBMISSION_READINESS_CHECKLIST_2026-05-17.md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readiness Word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docs/SUBMISSION_READINESS_CHECKLIST_2026-05-17.docx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benchmark and claim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docs/SUBMISSION_BENCHMARK_2026-03-25.md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benchmark Word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docs/SUBMISSION_BENCHMARK_2026-03-25.docx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Turkish advisor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docs/ADVISOR_UPDATE_2026-03-25_TR.md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Turkish advisor update Word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docs/ADVISOR_UPDATE_2026-03-25_TR.docx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 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docs/PUBLICATION_STRATEGY_2026-03-22.md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 strategy Word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docs/PUBLICATION_STRATEGY_2026-03-22.docx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Next-phase roadmap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docs/NEXT_PHASE_MASTER_PLAN_2026-04-05.md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Next-phase roadmap Word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docs/NEXT_PHASE_MASTER_PLAN_2026-04-05.docx</w:t>
            </w:r>
          </w:p>
        </w:tc>
      </w:tr>
    </w:tbl>
    <w:bookmarkEnd w:id="10"/>
    <w:bookmarkStart w:id="11" w:name="evidence-files"/>
    <w:p>
      <w:pPr>
        <w:pStyle w:val="Heading2"/>
      </w:pPr>
      <w:r>
        <w:t xml:space="preserve">Evidence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Full-data benchmark aggregate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experiments/benchmark_summary.json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Full-data benchmark aggregate Markdown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docs/BENCHMARK_SUMMARY.md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Low-data aggregate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experiments/low_data_summary.json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Low-data aggregate Markdown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docs/LOW_DATA_SUMMARY.md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evidence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experiments/statistical_evidence_2026-05-17.json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Low-data Drive provenance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experiments/low_data_drive_manifest_20260502.json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docs/EXPERIMENTS.md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 operational/provenance handoff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docs/COLAB_V7_HANDOFF_2026-04-06.md</w:t>
            </w:r>
          </w:p>
        </w:tc>
      </w:tr>
    </w:tbl>
    <w:bookmarkEnd w:id="11"/>
    <w:bookmarkStart w:id="12" w:name="known-provenance-notes"/>
    <w:p>
      <w:pPr>
        <w:pStyle w:val="Heading2"/>
      </w:pPr>
      <w:r>
        <w:t xml:space="preserve">Known Provenance Notes</w:t>
      </w:r>
    </w:p>
    <w:p>
      <w:pPr>
        <w:pStyle w:val="Compact"/>
        <w:numPr>
          <w:ilvl w:val="0"/>
          <w:numId w:val="1002"/>
        </w:numPr>
      </w:pPr>
      <w:r>
        <w:t xml:space="preserve">Current-local low-data seed-43 and seed-44 raw JSON rows are Drive-backed and recorded in</w:t>
      </w:r>
      <w:r>
        <w:t xml:space="preserve"> </w:t>
      </w:r>
      <w:r>
        <w:rPr>
          <w:rStyle w:val="VerbatimChar"/>
        </w:rPr>
        <w:t xml:space="preserve">experiments/low_data_drive_manifest_20260502.json</w:t>
      </w:r>
      <w:r>
        <w:t xml:space="preserve">; they are not tracked as local raw JSON files.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scripts/aggregate_low_data.py</w:t>
      </w:r>
      <w:r>
        <w:t xml:space="preserve"> </w:t>
      </w:r>
      <w:r>
        <w:t xml:space="preserve">now protects the canonical low-data summary from being overwritten by local seed-42 pilot rows while those confirmation JSONs remain remote-only.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scripts/statistical_evidence.py</w:t>
      </w:r>
      <w:r>
        <w:t xml:space="preserve"> </w:t>
      </w:r>
      <w:r>
        <w:t xml:space="preserve">reports 95% confidence intervals and exploratory Welch comparisons; because most multi-seed groups have only</w:t>
      </w:r>
      <w:r>
        <w:t xml:space="preserve"> </w:t>
      </w:r>
      <w:r>
        <w:rPr>
          <w:rStyle w:val="VerbatimChar"/>
        </w:rPr>
        <w:t xml:space="preserve">n=3</w:t>
      </w:r>
      <w:r>
        <w:t xml:space="preserve">, these p-values are descriptive reviewer aids rather than definitive inferential claims.</w:t>
      </w:r>
    </w:p>
    <w:p>
      <w:pPr>
        <w:pStyle w:val="Compact"/>
        <w:numPr>
          <w:ilvl w:val="0"/>
          <w:numId w:val="1002"/>
        </w:numPr>
      </w:pPr>
      <w:r>
        <w:t xml:space="preserve">The April 27 clean V7 Drive folder contains checkpoints, but its</w:t>
      </w:r>
      <w:r>
        <w:t xml:space="preserve"> </w:t>
      </w:r>
      <w:r>
        <w:rPr>
          <w:rStyle w:val="VerbatimChar"/>
        </w:rPr>
        <w:t xml:space="preserve">experiments/</w:t>
      </w:r>
      <w:r>
        <w:t xml:space="preserve"> </w:t>
      </w:r>
      <w:r>
        <w:t xml:space="preserve">subfolder is empty because the Colab runtime disconnected before the artifact-copy cell ran.</w:t>
      </w:r>
    </w:p>
    <w:p>
      <w:pPr>
        <w:pStyle w:val="Compact"/>
        <w:numPr>
          <w:ilvl w:val="0"/>
          <w:numId w:val="1002"/>
        </w:numPr>
      </w:pPr>
      <w:r>
        <w:t xml:space="preserve">The last user-reported Colab budget before the May 2026 low-data confirmation was approximately</w:t>
      </w:r>
      <w:r>
        <w:t xml:space="preserve"> </w:t>
      </w:r>
      <w:r>
        <w:rPr>
          <w:rStyle w:val="VerbatimChar"/>
        </w:rPr>
        <w:t xml:space="preserve">245</w:t>
      </w:r>
      <w:r>
        <w:t xml:space="preserve"> </w:t>
      </w:r>
      <w:r>
        <w:t xml:space="preserve">CU; remeasure before planning any new Colab run.</w:t>
      </w:r>
    </w:p>
    <w:bookmarkEnd w:id="12"/>
    <w:bookmarkStart w:id="13" w:name="next-decision-points"/>
    <w:p>
      <w:pPr>
        <w:pStyle w:val="Heading2"/>
      </w:pPr>
      <w:r>
        <w:t xml:space="preserve">Next Decision Points</w:t>
      </w:r>
    </w:p>
    <w:p>
      <w:pPr>
        <w:pStyle w:val="Compact"/>
        <w:numPr>
          <w:ilvl w:val="0"/>
          <w:numId w:val="1003"/>
        </w:numPr>
      </w:pPr>
      <w:r>
        <w:t xml:space="preserve">Decide the submission route: specialized QML insight paper versus applied OCR / cultural heritage paper.</w:t>
      </w:r>
    </w:p>
    <w:p>
      <w:pPr>
        <w:pStyle w:val="Compact"/>
        <w:numPr>
          <w:ilvl w:val="0"/>
          <w:numId w:val="1003"/>
        </w:numPr>
      </w:pPr>
      <w:r>
        <w:t xml:space="preserve">Add confidence intervals or formal significance tests only if the target venue/reviewer profile needs them.</w:t>
      </w:r>
    </w:p>
    <w:p>
      <w:pPr>
        <w:pStyle w:val="Compact"/>
        <w:numPr>
          <w:ilvl w:val="0"/>
          <w:numId w:val="1003"/>
        </w:numPr>
      </w:pPr>
      <w:r>
        <w:t xml:space="preserve">Add a second dataset or robustness axis only for a stronger methodology route.</w:t>
      </w:r>
    </w:p>
    <w:p>
      <w:pPr>
        <w:pStyle w:val="Compact"/>
        <w:numPr>
          <w:ilvl w:val="0"/>
          <w:numId w:val="1003"/>
        </w:numPr>
      </w:pPr>
      <w:r>
        <w:t xml:space="preserve">Do not rerun V7 or low-data rows for artifact hygiene.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2026-05-17T14:00:06Z</dcterms:created>
  <dcterms:modified xsi:type="dcterms:W3CDTF">2026-05-17T14:00:06Z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