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ubmission-readiness-checklist"/>
    <w:p>
      <w:pPr>
        <w:pStyle w:val="Heading1"/>
      </w:pPr>
      <w:r>
        <w:t xml:space="preserve">Submission Readiness Checklist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17, 2026</w:t>
      </w:r>
    </w:p>
    <w:p>
      <w:pPr>
        <w:pStyle w:val="BodyText"/>
      </w:pPr>
      <w:r>
        <w:t xml:space="preserve">This checklist translates the current artifact truth into submission-readiness gates. It is intentionally conservative: passing a gate means the claim is supported by repository artifacts, not that every possible reviewer objection is eliminated.</w:t>
      </w:r>
    </w:p>
    <w:bookmarkStart w:id="9" w:name="current-verdict"/>
    <w:p>
      <w:pPr>
        <w:pStyle w:val="Heading2"/>
      </w:pPr>
      <w:r>
        <w:t xml:space="preserve">Current Verdict</w:t>
      </w:r>
    </w:p>
    <w:p>
      <w:pPr>
        <w:pStyle w:val="FirstParagraph"/>
      </w:pPr>
      <w:r>
        <w:t xml:space="preserve">The project is ready for a specialized QML / applied OCR / cultural-heritage computing submission path after final venue formatting. It is not yet ready for a broad-scope Q1-style claim unless a second dataset, robustness axis, or stronger statistical design is added.</w:t>
      </w:r>
    </w:p>
    <w:bookmarkEnd w:id="9"/>
    <w:bookmarkStart w:id="10" w:name="ready-gates"/>
    <w:p>
      <w:pPr>
        <w:pStyle w:val="Heading2"/>
      </w:pPr>
      <w:r>
        <w:t xml:space="preserve">Ready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artifacts exist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experiments/benchmark_summary.json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docs/BENCHMARK_SUMMARY.md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current-local confirmation exists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experiments/low_data_summary.json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docs/LOW_DATA_SUMMARY.md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experiments/low_data_drive_manifest_20260502.json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caution layer exists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experiments/statistical_evidence_2026-05-17.json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contribution framing exists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docs/LITERATURE_CONTRIBUTION_2026-05-17.md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paper/draft.md</w:t>
            </w:r>
            <w:r>
              <w:t xml:space="preserve"> </w:t>
            </w:r>
            <w:r>
              <w:t xml:space="preserve">Section 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 V7 is framed as engineering evidence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experiments/v7_trainable_quantum_rerun_20260406_l4.json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experiments/v7_trainable_quantum_clean_20260427_l4.json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docs/COLAB_V7_HANDOFF_2026-04-06.md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Word exports exist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paper/draft.docx</w:t>
            </w:r>
            <w:r>
              <w:t xml:space="preserve">, submission/advisor/docx files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bookmarkEnd w:id="10"/>
    <w:bookmarkStart w:id="11" w:name="claim-safety-gates"/>
    <w:p>
      <w:pPr>
        <w:pStyle w:val="Heading2"/>
      </w:pPr>
      <w:r>
        <w:t xml:space="preserve">Claim Safety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Safe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quantum advantage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Do not claim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hierarchy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Strongest reproduced full-data evidence favors classical baselines.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 comparison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  <w:r>
              <w:t xml:space="preserve"> </w:t>
            </w:r>
            <w:r>
              <w:t xml:space="preserve">is the strongest thesis-faithful reproduction;</w:t>
            </w:r>
            <w:r>
              <w:t xml:space="preserve"> </w:t>
            </w:r>
            <w:r>
              <w:rPr>
                <w:rStyle w:val="VerbatimChar"/>
              </w:rPr>
              <w:t xml:space="preserve">thesis_hqnn2</w:t>
            </w:r>
            <w:r>
              <w:t xml:space="preserve"> </w:t>
            </w:r>
            <w:r>
              <w:t xml:space="preserve">remains below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 full-data comparison</w:t>
            </w:r>
          </w:p>
        </w:tc>
        <w:tc>
          <w:tcPr/>
          <w:p>
            <w:pPr>
              <w:pStyle w:val="Compact"/>
            </w:pPr>
            <w:r>
              <w:t xml:space="preserve">Supported with nuance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param_linear</w:t>
            </w:r>
            <w:r>
              <w:t xml:space="preserve"> </w:t>
            </w:r>
            <w:r>
              <w:t xml:space="preserve">slightly exceed</w:t>
            </w:r>
            <w:r>
              <w:t xml:space="preserve"> </w:t>
            </w:r>
            <w:r>
              <w:rPr>
                <w:rStyle w:val="VerbatimChar"/>
              </w:rPr>
              <w:t xml:space="preserve">non_trainable_quantum</w:t>
            </w:r>
            <w:r>
              <w:t xml:space="preserve">, but current-local full-data differences are small under</w:t>
            </w:r>
            <w:r>
              <w:t xml:space="preserve"> </w:t>
            </w:r>
            <w:r>
              <w:rPr>
                <w:rStyle w:val="VerbatimChar"/>
              </w:rPr>
              <w:t xml:space="preserve">n=3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quantum signal</w:t>
            </w:r>
          </w:p>
        </w:tc>
        <w:tc>
          <w:tcPr/>
          <w:p>
            <w:pPr>
              <w:pStyle w:val="Compact"/>
            </w:pPr>
            <w:r>
              <w:t xml:space="preserve">Supported with scope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  <w:r>
              <w:t xml:space="preserve"> </w:t>
            </w:r>
            <w:r>
              <w:t xml:space="preserve">shows a narrow current-local low-data competitiveness signal against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trainable quantum</w:t>
            </w:r>
          </w:p>
        </w:tc>
        <w:tc>
          <w:tcPr/>
          <w:p>
            <w:pPr>
              <w:pStyle w:val="Compact"/>
            </w:pPr>
            <w:r>
              <w:t xml:space="preserve">Supported as engineering case-study</w:t>
            </w:r>
          </w:p>
        </w:tc>
        <w:tc>
          <w:tcPr/>
          <w:p>
            <w:pPr>
              <w:pStyle w:val="Compact"/>
            </w:pPr>
            <w:r>
              <w:t xml:space="preserve">V7 can train after stabilization, but it is not an accuracy leader.</w:t>
            </w:r>
          </w:p>
        </w:tc>
      </w:tr>
    </w:tbl>
    <w:bookmarkEnd w:id="11"/>
    <w:bookmarkStart w:id="12" w:name="submission-risks"/>
    <w:p>
      <w:pPr>
        <w:pStyle w:val="Heading2"/>
      </w:pPr>
      <w:r>
        <w:t xml:space="preserve">Submission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dataset</w:t>
            </w:r>
          </w:p>
        </w:tc>
        <w:tc>
          <w:tcPr/>
          <w:p>
            <w:pPr>
              <w:pStyle w:val="Compact"/>
            </w:pPr>
            <w:r>
              <w:t xml:space="preserve">Medium for specialized venues; high for broad venues</w:t>
            </w:r>
          </w:p>
        </w:tc>
        <w:tc>
          <w:tcPr/>
          <w:p>
            <w:pPr>
              <w:pStyle w:val="Compact"/>
            </w:pPr>
            <w:r>
              <w:t xml:space="preserve">Position as benchmark/engineering study; add second dataset only for stronger venue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</w:t>
            </w:r>
            <w:r>
              <w:t xml:space="preserve"> </w:t>
            </w:r>
            <w:r>
              <w:rPr>
                <w:rStyle w:val="VerbatimChar"/>
              </w:rPr>
              <w:t xml:space="preserve">n=3</w:t>
            </w:r>
            <w:r>
              <w:t xml:space="preserve"> </w:t>
            </w: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descriptive confidence intervals and exploratory tests; avoid definitive p-value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seed43/44 raw JSONs are Drive-backed only</w:t>
            </w:r>
          </w:p>
        </w:tc>
        <w:tc>
          <w:tcPr/>
          <w:p>
            <w:pPr>
              <w:pStyle w:val="Compact"/>
            </w:pPr>
            <w:r>
              <w:t xml:space="preserve">Low to medium</w:t>
            </w:r>
          </w:p>
        </w:tc>
        <w:tc>
          <w:tcPr/>
          <w:p>
            <w:pPr>
              <w:pStyle w:val="Compact"/>
            </w:pPr>
            <w:r>
              <w:t xml:space="preserve">Keep manifest explicit; sync raw JSONs locally if final archival reproducibility is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April 27 V7 Drive</w:t>
            </w:r>
            <w:r>
              <w:t xml:space="preserve"> </w:t>
            </w:r>
            <w:r>
              <w:rPr>
                <w:rStyle w:val="VerbatimChar"/>
              </w:rPr>
              <w:t xml:space="preserve">experiments/</w:t>
            </w:r>
            <w:r>
              <w:t xml:space="preserve"> </w:t>
            </w:r>
            <w:r>
              <w:t xml:space="preserve">subfolder is empty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Keep JSON row marked as reconstructed from captured notebook output; do not rerun for folder hygiene.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access / licensing in final paper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Add dataset access instructions or archive link before external submission.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scope mismatch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Choose specialized QML, applied ML, or cultural-heritage route; re-check current journal scope and quartile immediately before submission.</w:t>
            </w:r>
          </w:p>
        </w:tc>
      </w:tr>
    </w:tbl>
    <w:bookmarkEnd w:id="12"/>
    <w:bookmarkStart w:id="13" w:name="final-pre-submission-commands"/>
    <w:p>
      <w:pPr>
        <w:pStyle w:val="Heading2"/>
      </w:pPr>
      <w:r>
        <w:t xml:space="preserve">Final Pre-Submission Commands</w:t>
      </w:r>
    </w:p>
    <w:p>
      <w:pPr>
        <w:pStyle w:val="FirstParagraph"/>
      </w:pPr>
      <w:r>
        <w:t xml:space="preserve">Run these immediately before creating a submission archive:</w:t>
      </w:r>
    </w:p>
    <w:p>
      <w:pPr>
        <w:pStyle w:val="SourceCode"/>
      </w:pPr>
      <w:r>
        <w:rPr>
          <w:rStyle w:val="VerbatimChar"/>
        </w:rPr>
        <w:t xml:space="preserve">git status --short --branch</w:t>
      </w:r>
      <w:r>
        <w:br/>
      </w:r>
      <w:r>
        <w:rPr>
          <w:rStyle w:val="VerbatimChar"/>
        </w:rPr>
        <w:t xml:space="preserve">git diff --check</w:t>
      </w:r>
      <w:r>
        <w:br/>
      </w:r>
      <w:r>
        <w:rPr>
          <w:rStyle w:val="VerbatimChar"/>
        </w:rPr>
        <w:t xml:space="preserve">venv/bin/python -m py_compile \</w:t>
      </w:r>
      <w:r>
        <w:br/>
      </w:r>
      <w:r>
        <w:rPr>
          <w:rStyle w:val="VerbatimChar"/>
        </w:rPr>
        <w:t xml:space="preserve">  scripts/aggregate_benchmarks.py \</w:t>
      </w:r>
      <w:r>
        <w:br/>
      </w:r>
      <w:r>
        <w:rPr>
          <w:rStyle w:val="VerbatimChar"/>
        </w:rPr>
        <w:t xml:space="preserve">  scripts/aggregate_low_data.py \</w:t>
      </w:r>
      <w:r>
        <w:br/>
      </w:r>
      <w:r>
        <w:rPr>
          <w:rStyle w:val="VerbatimChar"/>
        </w:rPr>
        <w:t xml:space="preserve">  scripts/statistical_evidence.py \</w:t>
      </w:r>
      <w:r>
        <w:br/>
      </w:r>
      <w:r>
        <w:rPr>
          <w:rStyle w:val="VerbatimChar"/>
        </w:rPr>
        <w:t xml:space="preserve">  scripts/plot_low_data_results.py</w:t>
      </w:r>
      <w:r>
        <w:br/>
      </w:r>
      <w:r>
        <w:rPr>
          <w:rStyle w:val="VerbatimChar"/>
        </w:rPr>
        <w:t xml:space="preserve">venv/bin/python scripts/aggregate_benchmarks.py \</w:t>
      </w:r>
      <w:r>
        <w:br/>
      </w:r>
      <w:r>
        <w:rPr>
          <w:rStyle w:val="VerbatimChar"/>
        </w:rPr>
        <w:t xml:space="preserve">  --json-out /tmp/qnn_benchmark_summary.json \</w:t>
      </w:r>
      <w:r>
        <w:br/>
      </w:r>
      <w:r>
        <w:rPr>
          <w:rStyle w:val="VerbatimChar"/>
        </w:rPr>
        <w:t xml:space="preserve">  --md-out /tmp/qnn_benchmark_summary.md</w:t>
      </w:r>
      <w:r>
        <w:br/>
      </w:r>
      <w:r>
        <w:rPr>
          <w:rStyle w:val="VerbatimChar"/>
        </w:rPr>
        <w:t xml:space="preserve">venv/bin/python scripts/statistical_evidence.py \</w:t>
      </w:r>
      <w:r>
        <w:br/>
      </w:r>
      <w:r>
        <w:rPr>
          <w:rStyle w:val="VerbatimChar"/>
        </w:rPr>
        <w:t xml:space="preserve">  --json-out /tmp/qnn_statistical_evidence.json \</w:t>
      </w:r>
      <w:r>
        <w:br/>
      </w:r>
      <w:r>
        <w:rPr>
          <w:rStyle w:val="VerbatimChar"/>
        </w:rPr>
        <w:t xml:space="preserve">  --md-out /tmp/qnn_statistical_evidence.md</w:t>
      </w:r>
      <w:r>
        <w:br/>
      </w:r>
      <w:r>
        <w:rPr>
          <w:rStyle w:val="VerbatimChar"/>
        </w:rPr>
        <w:t xml:space="preserve">./scripts/export_docx.sh paper/draft.md</w:t>
      </w:r>
    </w:p>
    <w:p>
      <w:pPr>
        <w:pStyle w:val="FirstParagraph"/>
      </w:pPr>
      <w:r>
        <w:t xml:space="preserve">Expected outcome:</w:t>
      </w:r>
    </w:p>
    <w:p>
      <w:pPr>
        <w:pStyle w:val="Compact"/>
        <w:numPr>
          <w:ilvl w:val="0"/>
          <w:numId w:val="1001"/>
        </w:numPr>
      </w:pPr>
      <w:r>
        <w:t xml:space="preserve">benchmark aggregate matches</w:t>
      </w:r>
      <w:r>
        <w:t xml:space="preserve"> </w:t>
      </w:r>
      <w:r>
        <w:rPr>
          <w:rStyle w:val="VerbatimChar"/>
        </w:rPr>
        <w:t xml:space="preserve">experiments/benchmark_summary.json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docs/BENCHMARK_SUMMARY.md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statistical evidence output matches</w:t>
      </w:r>
      <w:r>
        <w:t xml:space="preserve"> </w:t>
      </w:r>
      <w:r>
        <w:rPr>
          <w:rStyle w:val="VerbatimChar"/>
        </w:rPr>
        <w:t xml:space="preserve">experiments/statistical_evidence_2026-05-17.json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docs/STATISTICAL_EVIDENCE_2026-05-17.md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paper/draft.docx</w:t>
      </w:r>
      <w:r>
        <w:t xml:space="preserve"> </w:t>
      </w:r>
      <w:r>
        <w:t xml:space="preserve">embeds</w:t>
      </w:r>
      <w:r>
        <w:t xml:space="preserve"> </w:t>
      </w:r>
      <w:r>
        <w:rPr>
          <w:rStyle w:val="VerbatimChar"/>
        </w:rPr>
        <w:t xml:space="preserve">paper/figures/low_data_scaling.png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working tree contains only intentional formatting/export changes.</w:t>
      </w:r>
    </w:p>
    <w:bookmarkEnd w:id="13"/>
    <w:bookmarkStart w:id="14" w:name="do-not-do-by-default"/>
    <w:p>
      <w:pPr>
        <w:pStyle w:val="Heading2"/>
      </w:pPr>
      <w:r>
        <w:t xml:space="preserve">Do Not Do By Default</w:t>
      </w:r>
    </w:p>
    <w:p>
      <w:pPr>
        <w:pStyle w:val="Compact"/>
        <w:numPr>
          <w:ilvl w:val="0"/>
          <w:numId w:val="1002"/>
        </w:numPr>
      </w:pPr>
      <w:r>
        <w:t xml:space="preserve">Do not launch new V7 training.</w:t>
      </w:r>
    </w:p>
    <w:p>
      <w:pPr>
        <w:pStyle w:val="Compact"/>
        <w:numPr>
          <w:ilvl w:val="0"/>
          <w:numId w:val="1002"/>
        </w:numPr>
      </w:pPr>
      <w:r>
        <w:t xml:space="preserve">Do not rerun low-data rows only for artifact hygiene.</w:t>
      </w:r>
    </w:p>
    <w:p>
      <w:pPr>
        <w:pStyle w:val="Compact"/>
        <w:numPr>
          <w:ilvl w:val="0"/>
          <w:numId w:val="1002"/>
        </w:numPr>
      </w:pPr>
      <w:r>
        <w:t xml:space="preserve">Do not spend Colab CU until the target venue or reviewer risk justifies a specific additional experiment.</w:t>
      </w:r>
    </w:p>
    <w:p>
      <w:pPr>
        <w:pStyle w:val="Compact"/>
        <w:numPr>
          <w:ilvl w:val="0"/>
          <w:numId w:val="1002"/>
        </w:numPr>
      </w:pPr>
      <w:r>
        <w:t xml:space="preserve">Do not merge thesis-faithful, current-local, modern-classical, low-data, and V7 rows into one flat leaderboard.</w:t>
      </w:r>
    </w:p>
    <w:bookmarkEnd w:id="14"/>
    <w:bookmarkStart w:id="15" w:name="next-human-decision"/>
    <w:p>
      <w:pPr>
        <w:pStyle w:val="Heading2"/>
      </w:pPr>
      <w:r>
        <w:t xml:space="preserve">Next Human Decision</w:t>
      </w:r>
    </w:p>
    <w:p>
      <w:pPr>
        <w:pStyle w:val="FirstParagraph"/>
      </w:pPr>
      <w:r>
        <w:t xml:space="preserve">Choose the submission route: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QML route:</w:t>
      </w:r>
      <w:r>
        <w:t xml:space="preserve"> </w:t>
      </w:r>
      <w:r>
        <w:t xml:space="preserve">strongest fit for benchmark discipline, negative-result honesty, and hybrid-QML engineering lessons.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Applied OCR / cultural heritage route:</w:t>
      </w:r>
      <w:r>
        <w:t xml:space="preserve"> </w:t>
      </w:r>
      <w:r>
        <w:t xml:space="preserve">strongest fit if the Ottoman script recognition and dataset contribution are foregrounded.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Broad Q1-style route:</w:t>
      </w:r>
      <w:r>
        <w:t xml:space="preserve"> </w:t>
      </w:r>
      <w:r>
        <w:t xml:space="preserve">requires more evidence, most likely a second dataset or robustness axis plus stronger statistical design.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2026-05-17T14:00:06Z</dcterms:created>
  <dcterms:modified xsi:type="dcterms:W3CDTF">2026-05-17T14:00:06Z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