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ubmission-benchmark-and-claim-set"/>
    <w:p>
      <w:pPr>
        <w:pStyle w:val="Heading1"/>
      </w:pPr>
      <w:r>
        <w:t xml:space="preserve">Submission Benchmark And Claim Set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March 25, 2026</w:t>
      </w:r>
    </w:p>
    <w:p>
      <w:pPr>
        <w:pStyle w:val="BodyText"/>
      </w:pPr>
      <w:r>
        <w:t xml:space="preserve">This document freezes the benchmark picture that is currently safe to use for manuscript rewriting.</w:t>
      </w:r>
    </w:p>
    <w:p>
      <w:pPr>
        <w:pStyle w:val="BodyText"/>
      </w:pPr>
      <w:r>
        <w:t xml:space="preserve">Use this file together with: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docs/PUBLICATION_STRATEGY_2026-03-22.md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docs/EXPERIMENTS.md</w:t>
      </w:r>
    </w:p>
    <w:bookmarkStart w:id="12" w:name="X3bf0790ccf5029525eca2e5cdd8b7409aad2832"/>
    <w:p>
      <w:pPr>
        <w:pStyle w:val="Heading2"/>
      </w:pPr>
      <w:r>
        <w:t xml:space="preserve">1. Main Benchmark Snapshot</w:t>
      </w:r>
    </w:p>
    <w:bookmarkStart w:id="9" w:name="Xa8562d2beffdfc258d9455911579accd8640699"/>
    <w:p>
      <w:pPr>
        <w:pStyle w:val="Heading3"/>
      </w:pPr>
      <w:r>
        <w:t xml:space="preserve">1.1 Thesis-faithful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85.26 ± 0.97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92.11 ±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1,378,124</w:t>
            </w:r>
          </w:p>
        </w:tc>
        <w:tc>
          <w:tcPr/>
          <w:p>
            <w:pPr>
              <w:pStyle w:val="Compact"/>
            </w:pPr>
            <w:r>
              <w:t xml:space="preserve">strongest thesis-faithful anchor; above thesis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85.38 ± 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769,804</w:t>
            </w:r>
          </w:p>
        </w:tc>
        <w:tc>
          <w:tcPr/>
          <w:p>
            <w:pPr>
              <w:pStyle w:val="Compact"/>
            </w:pPr>
            <w:r>
              <w:t xml:space="preserve">weaker classical thesis-faithful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83.72 ± 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248,428</w:t>
            </w:r>
          </w:p>
        </w:tc>
        <w:tc>
          <w:tcPr/>
          <w:p>
            <w:pPr>
              <w:pStyle w:val="Compact"/>
            </w:pPr>
            <w:r>
              <w:t xml:space="preserve">best thesis-faithful quantum reproduction, but below thesis table and below</w:t>
            </w:r>
            <w:r>
              <w:t xml:space="preserve"> </w:t>
            </w:r>
            <w:r>
              <w:rPr>
                <w:rStyle w:val="VerbatimChar"/>
              </w:rPr>
              <w:t xml:space="preserve">thesis_cnniiii</w:t>
            </w:r>
          </w:p>
        </w:tc>
      </w:tr>
    </w:tbl>
    <w:bookmarkEnd w:id="9"/>
    <w:bookmarkStart w:id="10" w:name="Xda816aca73678c0df8d91b968bfa9ddc6b22968"/>
    <w:p>
      <w:pPr>
        <w:pStyle w:val="Heading3"/>
      </w:pPr>
      <w:r>
        <w:t xml:space="preserve">1.2 Current-local matched-budget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81.40 ± 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86.26 ± 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88,045</w:t>
            </w:r>
          </w:p>
        </w:tc>
        <w:tc>
          <w:tcPr/>
          <w:p>
            <w:pPr>
              <w:pStyle w:val="Compact"/>
            </w:pPr>
            <w:r>
              <w:t xml:space="preserve">strongest current-local model by mean test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86.45 ± 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matched classical replacement; nearly equal to</w:t>
            </w:r>
            <w:r>
              <w:t xml:space="preserve"> </w:t>
            </w:r>
            <w:r>
              <w:rPr>
                <w:rStyle w:val="VerbatimChar"/>
              </w:rPr>
              <w:t xml:space="preserve">classical_conv</w:t>
            </w:r>
            <w:r>
              <w:t xml:space="preserve"> </w:t>
            </w:r>
            <w:r>
              <w:t xml:space="preserve">on mean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85.77 ± 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88,488</w:t>
            </w:r>
          </w:p>
        </w:tc>
        <w:tc>
          <w:tcPr/>
          <w:p>
            <w:pPr>
              <w:pStyle w:val="Compact"/>
            </w:pPr>
            <w:r>
              <w:t xml:space="preserve">stable Henderson-style non-trainable quantum baseline, but not the best current-local model</w:t>
            </w:r>
          </w:p>
        </w:tc>
      </w:tr>
    </w:tbl>
    <w:bookmarkEnd w:id="10"/>
    <w:bookmarkStart w:id="11" w:name="X9a87420849af5f52898fe2531cb98545b318e90"/>
    <w:p>
      <w:pPr>
        <w:pStyle w:val="Heading3"/>
      </w:pPr>
      <w:r>
        <w:t xml:space="preserve">1.3 Trainable quantum case-study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useful engineering case-study, not current benchmark leader</w:t>
            </w:r>
          </w:p>
        </w:tc>
      </w:tr>
    </w:tbl>
    <w:bookmarkEnd w:id="11"/>
    <w:bookmarkEnd w:id="12"/>
    <w:bookmarkStart w:id="13" w:name="Xee63ae84c6c3291f34ebed59b372d66f138ee78"/>
    <w:p>
      <w:pPr>
        <w:pStyle w:val="Heading2"/>
      </w:pPr>
      <w:r>
        <w:t xml:space="preserve">2. Safe Claim Hierarchy</w:t>
      </w:r>
    </w:p>
    <w:p>
      <w:pPr>
        <w:pStyle w:val="FirstParagraph"/>
      </w:pPr>
      <w:r>
        <w:t xml:space="preserve">These are the strongest claims currently supported by repository artifacts.</w:t>
      </w:r>
    </w:p>
    <w:p>
      <w:pPr>
        <w:pStyle w:val="Compact"/>
        <w:numPr>
          <w:ilvl w:val="0"/>
          <w:numId w:val="1002"/>
        </w:numPr>
      </w:pPr>
      <w:r>
        <w:t xml:space="preserve">The repository now supports a</w:t>
      </w:r>
      <w:r>
        <w:t xml:space="preserve"> </w:t>
      </w:r>
      <w:r>
        <w:rPr>
          <w:b/>
          <w:bCs/>
        </w:rPr>
        <w:t xml:space="preserve">reproducible benchmark story</w:t>
      </w:r>
      <w:r>
        <w:t xml:space="preserve">, not a quantum-win story.</w:t>
      </w:r>
    </w:p>
    <w:p>
      <w:pPr>
        <w:pStyle w:val="Compact"/>
        <w:numPr>
          <w:ilvl w:val="0"/>
          <w:numId w:val="1002"/>
        </w:numPr>
      </w:pPr>
      <w:r>
        <w:t xml:space="preserve">In the current-local matched-budget family,</w:t>
      </w:r>
      <w:r>
        <w:t xml:space="preserve"> </w:t>
      </w:r>
      <w:r>
        <w:rPr>
          <w:b/>
          <w:bCs/>
        </w:rPr>
        <w:t xml:space="preserve">classical baselines outperform the current Henderson-style non-trainable quantum baseline on mean test accuracy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the thesis-faithful family,</w:t>
      </w:r>
      <w:r>
        <w:t xml:space="preserve"> </w:t>
      </w:r>
      <w:r>
        <w:rPr>
          <w:b/>
          <w:bCs/>
        </w:rPr>
        <w:t xml:space="preserve">the strongest reproduced model is classical (</w:t>
      </w:r>
      <w:r>
        <w:rPr>
          <w:rStyle w:val="VerbatimChar"/>
          <w:b/>
          <w:bCs/>
        </w:rPr>
        <w:t xml:space="preserve">thesis_cnniiii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thesis-faithful quantum reproduction (</w:t>
      </w:r>
      <w:r>
        <w:rPr>
          <w:rStyle w:val="VerbatimChar"/>
        </w:rPr>
        <w:t xml:space="preserve">thesis_hqnn2</w:t>
      </w:r>
      <w:r>
        <w:t xml:space="preserve">) is competitive with</w:t>
      </w:r>
      <w:r>
        <w:t xml:space="preserve"> </w:t>
      </w:r>
      <w:r>
        <w:rPr>
          <w:rStyle w:val="VerbatimChar"/>
        </w:rPr>
        <w:t xml:space="preserve">thesis_cnn3</w:t>
      </w:r>
      <w:r>
        <w:t xml:space="preserve">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surpass the strongest classical thesis-faithful model.</w:t>
      </w:r>
    </w:p>
    <w:p>
      <w:pPr>
        <w:pStyle w:val="Compact"/>
        <w:numPr>
          <w:ilvl w:val="0"/>
          <w:numId w:val="1002"/>
        </w:numPr>
      </w:pPr>
      <w:r>
        <w:t xml:space="preserve">V7 remains valuable as a</w:t>
      </w:r>
      <w:r>
        <w:t xml:space="preserve"> </w:t>
      </w:r>
      <w:r>
        <w:rPr>
          <w:b/>
          <w:bCs/>
        </w:rPr>
        <w:t xml:space="preserve">hybrid-QML engineering and stabilization case-study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information bottleneck threshold</w:t>
      </w:r>
    </w:p>
    <w:p>
      <w:pPr>
        <w:pStyle w:val="Compact"/>
        <w:numPr>
          <w:ilvl w:val="1"/>
          <w:numId w:val="1003"/>
        </w:numPr>
      </w:pPr>
      <w:r>
        <w:t xml:space="preserve">gradient stabilization</w:t>
      </w:r>
    </w:p>
    <w:p>
      <w:pPr>
        <w:pStyle w:val="Compact"/>
        <w:numPr>
          <w:ilvl w:val="1"/>
          <w:numId w:val="1003"/>
        </w:numPr>
      </w:pPr>
      <w:r>
        <w:t xml:space="preserve">AMP / float16 incompatibility at the quantum boundary</w:t>
      </w:r>
    </w:p>
    <w:bookmarkEnd w:id="13"/>
    <w:bookmarkStart w:id="14" w:name="Xcae0454430a9c536bbc651a5031a4f11d154926"/>
    <w:p>
      <w:pPr>
        <w:pStyle w:val="Heading2"/>
      </w:pPr>
      <w:r>
        <w:t xml:space="preserve">3. Claims To Avoid</w:t>
      </w:r>
    </w:p>
    <w:p>
      <w:pPr>
        <w:pStyle w:val="FirstParagraph"/>
      </w:pPr>
      <w:r>
        <w:t xml:space="preserve">Do not currently claim any of the following:</w:t>
      </w:r>
    </w:p>
    <w:p>
      <w:pPr>
        <w:pStyle w:val="Compact"/>
        <w:numPr>
          <w:ilvl w:val="0"/>
          <w:numId w:val="1004"/>
        </w:numPr>
      </w:pPr>
      <w:r>
        <w:t xml:space="preserve">generic "quantum advantage"</w:t>
      </w:r>
    </w:p>
    <w:p>
      <w:pPr>
        <w:pStyle w:val="Compact"/>
        <w:numPr>
          <w:ilvl w:val="0"/>
          <w:numId w:val="1004"/>
        </w:numPr>
      </w:pPr>
      <w:r>
        <w:t xml:space="preserve">that the trainable quantum path is the best model in the study</w:t>
      </w:r>
    </w:p>
    <w:p>
      <w:pPr>
        <w:pStyle w:val="Compact"/>
        <w:numPr>
          <w:ilvl w:val="0"/>
          <w:numId w:val="1004"/>
        </w:numPr>
      </w:pPr>
      <w:r>
        <w:t xml:space="preserve">that the Henderson-style non-trainable quantum baseline beats matched classical replacements</w:t>
      </w:r>
    </w:p>
    <w:p>
      <w:pPr>
        <w:pStyle w:val="Compact"/>
        <w:numPr>
          <w:ilvl w:val="0"/>
          <w:numId w:val="1004"/>
        </w:numPr>
      </w:pPr>
      <w:r>
        <w:t xml:space="preserve">that thesis HQNN-II has been surpassed by a quantum successor</w:t>
      </w:r>
    </w:p>
    <w:p>
      <w:pPr>
        <w:pStyle w:val="Compact"/>
        <w:numPr>
          <w:ilvl w:val="0"/>
          <w:numId w:val="1004"/>
        </w:numPr>
      </w:pPr>
      <w:r>
        <w:t xml:space="preserve">that simulator-side quantum methods provide a clear practical compute advantage</w:t>
      </w:r>
    </w:p>
    <w:bookmarkEnd w:id="14"/>
    <w:bookmarkStart w:id="15" w:name="Xc710c7d630c758f8e70edc8f284f6137b53cb38"/>
    <w:p>
      <w:pPr>
        <w:pStyle w:val="Heading2"/>
      </w:pPr>
      <w:r>
        <w:t xml:space="preserve">4. Recommended Main Paper Narrative</w:t>
      </w:r>
    </w:p>
    <w:p>
      <w:pPr>
        <w:pStyle w:val="FirstParagraph"/>
      </w:pPr>
      <w:r>
        <w:t xml:space="preserve">The paper should now be written around: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fair comparative benchmark</w:t>
      </w:r>
      <w:r>
        <w:t xml:space="preserve"> </w:t>
      </w:r>
      <w:r>
        <w:t xml:space="preserve">on a difficult 44-class Ottoman handwriting task,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negative-result honesty</w:t>
      </w:r>
      <w:r>
        <w:t xml:space="preserve"> </w:t>
      </w:r>
      <w:r>
        <w:t xml:space="preserve">about where current quantum variants do not win,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engineering insight</w:t>
      </w:r>
      <w:r>
        <w:t xml:space="preserve"> </w:t>
      </w:r>
      <w:r>
        <w:t xml:space="preserve">from the V1--V7 trainable-quantum path,</w:t>
      </w:r>
    </w:p>
    <w:p>
      <w:pPr>
        <w:pStyle w:val="Compact"/>
        <w:numPr>
          <w:ilvl w:val="0"/>
          <w:numId w:val="1005"/>
        </w:numPr>
      </w:pPr>
      <w:r>
        <w:t xml:space="preserve">the distinction between:</w:t>
      </w:r>
    </w:p>
    <w:p>
      <w:pPr>
        <w:pStyle w:val="Compact"/>
        <w:numPr>
          <w:ilvl w:val="1"/>
          <w:numId w:val="1006"/>
        </w:numPr>
      </w:pPr>
      <w:r>
        <w:t xml:space="preserve">thesis-faithful reproductions,</w:t>
      </w:r>
    </w:p>
    <w:p>
      <w:pPr>
        <w:pStyle w:val="Compact"/>
        <w:numPr>
          <w:ilvl w:val="1"/>
          <w:numId w:val="1006"/>
        </w:numPr>
      </w:pPr>
      <w:r>
        <w:t xml:space="preserve">current-local matched-budget ablations,</w:t>
      </w:r>
    </w:p>
    <w:p>
      <w:pPr>
        <w:pStyle w:val="Compact"/>
        <w:numPr>
          <w:ilvl w:val="1"/>
          <w:numId w:val="1006"/>
        </w:numPr>
      </w:pPr>
      <w:r>
        <w:t xml:space="preserve">documented trainable-quantum case-study.</w:t>
      </w:r>
    </w:p>
    <w:bookmarkEnd w:id="15"/>
    <w:bookmarkStart w:id="16" w:name="Xb4fd20f42179fbd46b0d65c4af121ee1348f742"/>
    <w:p>
      <w:pPr>
        <w:pStyle w:val="Heading2"/>
      </w:pPr>
      <w:r>
        <w:t xml:space="preserve">5. Required Paper Edits</w:t>
      </w:r>
    </w:p>
    <w:p>
      <w:pPr>
        <w:pStyle w:val="FirstParagraph"/>
      </w:pPr>
      <w:r>
        <w:t xml:space="preserve">Before submission, the draft should be rewritten so that:</w:t>
      </w:r>
    </w:p>
    <w:p>
      <w:pPr>
        <w:pStyle w:val="Compact"/>
        <w:numPr>
          <w:ilvl w:val="0"/>
          <w:numId w:val="1007"/>
        </w:numPr>
      </w:pPr>
      <w:r>
        <w:t xml:space="preserve">the abstract no longer reads as if V7 is the main winning model,</w:t>
      </w:r>
    </w:p>
    <w:p>
      <w:pPr>
        <w:pStyle w:val="Compact"/>
        <w:numPr>
          <w:ilvl w:val="0"/>
          <w:numId w:val="1007"/>
        </w:numPr>
      </w:pPr>
      <w:r>
        <w:t xml:space="preserve">the primary result table uses the benchmark snapshot in this document,</w:t>
      </w:r>
    </w:p>
    <w:p>
      <w:pPr>
        <w:pStyle w:val="Compact"/>
        <w:numPr>
          <w:ilvl w:val="0"/>
          <w:numId w:val="1007"/>
        </w:numPr>
      </w:pPr>
      <w:r>
        <w:t xml:space="preserve">V7 is framed as an engineering contribution rather than an accuracy leader,</w:t>
      </w:r>
    </w:p>
    <w:p>
      <w:pPr>
        <w:pStyle w:val="Compact"/>
        <w:numPr>
          <w:ilvl w:val="0"/>
          <w:numId w:val="1007"/>
        </w:numPr>
      </w:pPr>
      <w:r>
        <w:t xml:space="preserve">current-local and thesis-faithful families are not mixed into one misleading ranking,</w:t>
      </w:r>
    </w:p>
    <w:p>
      <w:pPr>
        <w:pStyle w:val="Compact"/>
        <w:numPr>
          <w:ilvl w:val="0"/>
          <w:numId w:val="1007"/>
        </w:numPr>
      </w:pPr>
      <w:r>
        <w:t xml:space="preserve">the conclusion explicitly states that the strongest reproduced evidence currently favors classical baselines.</w:t>
      </w:r>
    </w:p>
    <w:bookmarkEnd w:id="16"/>
    <w:bookmarkStart w:id="17" w:name="X4c7fce1f44e49d70b219ed598d4fe7461c7acd0"/>
    <w:p>
      <w:pPr>
        <w:pStyle w:val="Heading2"/>
      </w:pPr>
      <w:r>
        <w:t xml:space="preserve">6. Remaining High-Value Work</w:t>
      </w:r>
    </w:p>
    <w:p>
      <w:pPr>
        <w:pStyle w:val="FirstParagraph"/>
      </w:pPr>
      <w:r>
        <w:t xml:space="preserve">The most valuable next steps are:</w:t>
      </w:r>
    </w:p>
    <w:p>
      <w:pPr>
        <w:pStyle w:val="Compact"/>
        <w:numPr>
          <w:ilvl w:val="0"/>
          <w:numId w:val="1008"/>
        </w:numPr>
      </w:pPr>
      <w:r>
        <w:t xml:space="preserve">rewrite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around the benchmark hierarchy above,</w:t>
      </w:r>
    </w:p>
    <w:p>
      <w:pPr>
        <w:pStyle w:val="Compact"/>
        <w:numPr>
          <w:ilvl w:val="0"/>
          <w:numId w:val="1008"/>
        </w:numPr>
      </w:pPr>
      <w:r>
        <w:t xml:space="preserve">add at least one stronger modern classical baseline if submission ambition remains Q1/Q2-broad,</w:t>
      </w:r>
    </w:p>
    <w:p>
      <w:pPr>
        <w:pStyle w:val="Compact"/>
        <w:numPr>
          <w:ilvl w:val="0"/>
          <w:numId w:val="1008"/>
        </w:numPr>
      </w:pPr>
      <w:r>
        <w:t xml:space="preserve">run a confirmatory Colab rerun for</w:t>
      </w:r>
      <w:r>
        <w:t xml:space="preserve"> </w:t>
      </w:r>
      <w:r>
        <w:rPr>
          <w:rStyle w:val="VerbatimChar"/>
        </w:rPr>
        <w:t xml:space="preserve">V7</w:t>
      </w:r>
      <w:r>
        <w:t xml:space="preserve"> </w:t>
      </w:r>
      <w:r>
        <w:t xml:space="preserve">only if the paper still needs a fresh artifact-backed trainable-quantum result,</w:t>
      </w:r>
    </w:p>
    <w:p>
      <w:pPr>
        <w:pStyle w:val="Compact"/>
        <w:numPr>
          <w:ilvl w:val="0"/>
          <w:numId w:val="1008"/>
        </w:numPr>
      </w:pPr>
      <w:r>
        <w:t xml:space="preserve">add significance intervals/tests if reviewers are expected to push on variance.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2026-03-25T20:50:50Z</dcterms:created>
  <dcterms:modified xsi:type="dcterms:W3CDTF">2026-03-25T20:50:50Z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