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7ce4adcf8848b6eb68d64d0f510081f6eb1659"/>
    <w:p>
      <w:pPr>
        <w:pStyle w:val="Heading1"/>
      </w:pPr>
      <w:r>
        <w:t xml:space="preserve">Fair Benchmarking and Engineering Lessons for Quanvolutional Neural Networks on Ottoman-Turkish Handwritten Character Recognition</w:t>
      </w:r>
    </w:p>
    <w:p>
      <w:pPr>
        <w:pStyle w:val="BlockText"/>
      </w:pPr>
      <w:r>
        <w:t xml:space="preserve">Editorial status note, March 25, 2026:</w:t>
      </w:r>
      <w:r>
        <w:t xml:space="preserve"> </w:t>
      </w:r>
      <w:r>
        <w:t xml:space="preserve">This draft still reflects the older V7-centered manuscript state and is not submission-ready in its current form.</w:t>
      </w:r>
      <w:r>
        <w:t xml:space="preserve"> </w:t>
      </w:r>
      <w:r>
        <w:t xml:space="preserve">The current benchmark picture is now:</w:t>
      </w:r>
    </w:p>
    <w:p>
      <w:pPr>
        <w:pStyle w:val="Compact"/>
        <w:numPr>
          <w:ilvl w:val="0"/>
          <w:numId w:val="1001"/>
        </w:numPr>
      </w:pPr>
      <w:r>
        <w:rPr>
          <w:rStyle w:val="VerbatimChar"/>
        </w:rPr>
        <w:t xml:space="preserve">thesis_cnniiii</w:t>
      </w:r>
      <w:r>
        <w:t xml:space="preserve">:</w:t>
      </w:r>
      <w:r>
        <w:t xml:space="preserve"> </w:t>
      </w:r>
      <w:r>
        <w:rPr>
          <w:rStyle w:val="VerbatimChar"/>
        </w:rPr>
        <w:t xml:space="preserve">85.26 ± 0.97</w:t>
      </w:r>
      <w:r>
        <w:t xml:space="preserve"> </w:t>
      </w:r>
      <w:r>
        <w:t xml:space="preserve">test</w:t>
      </w:r>
    </w:p>
    <w:p>
      <w:pPr>
        <w:pStyle w:val="Compact"/>
        <w:numPr>
          <w:ilvl w:val="0"/>
          <w:numId w:val="1001"/>
        </w:numPr>
      </w:pPr>
      <w:r>
        <w:rPr>
          <w:rStyle w:val="VerbatimChar"/>
        </w:rPr>
        <w:t xml:space="preserve">classical_conv</w:t>
      </w:r>
      <w:r>
        <w:t xml:space="preserve">:</w:t>
      </w:r>
      <w:r>
        <w:t xml:space="preserve"> </w:t>
      </w:r>
      <w:r>
        <w:rPr>
          <w:rStyle w:val="VerbatimChar"/>
        </w:rPr>
        <w:t xml:space="preserve">81.40 ± 1.06</w:t>
      </w:r>
      <w:r>
        <w:t xml:space="preserve"> </w:t>
      </w:r>
      <w:r>
        <w:t xml:space="preserve">test</w:t>
      </w:r>
    </w:p>
    <w:p>
      <w:pPr>
        <w:pStyle w:val="Compact"/>
        <w:numPr>
          <w:ilvl w:val="0"/>
          <w:numId w:val="1001"/>
        </w:numPr>
      </w:pPr>
      <w:r>
        <w:rPr>
          <w:rStyle w:val="VerbatimChar"/>
        </w:rPr>
        <w:t xml:space="preserve">param_linear</w:t>
      </w:r>
      <w:r>
        <w:t xml:space="preserve">:</w:t>
      </w:r>
      <w:r>
        <w:t xml:space="preserve"> </w:t>
      </w:r>
      <w:r>
        <w:rPr>
          <w:rStyle w:val="VerbatimChar"/>
        </w:rPr>
        <w:t xml:space="preserve">81.12 ± 2.27</w:t>
      </w:r>
      <w:r>
        <w:t xml:space="preserve"> </w:t>
      </w:r>
      <w:r>
        <w:t xml:space="preserve">test</w:t>
      </w:r>
    </w:p>
    <w:p>
      <w:pPr>
        <w:pStyle w:val="Compact"/>
        <w:numPr>
          <w:ilvl w:val="0"/>
          <w:numId w:val="1001"/>
        </w:numPr>
      </w:pPr>
      <w:r>
        <w:rPr>
          <w:rStyle w:val="VerbatimChar"/>
        </w:rPr>
        <w:t xml:space="preserve">non_trainable_quantum</w:t>
      </w:r>
      <w:r>
        <w:t xml:space="preserve">:</w:t>
      </w:r>
      <w:r>
        <w:t xml:space="preserve"> </w:t>
      </w:r>
      <w:r>
        <w:rPr>
          <w:rStyle w:val="VerbatimChar"/>
        </w:rPr>
        <w:t xml:space="preserve">80.40 ± 0.69</w:t>
      </w:r>
      <w:r>
        <w:t xml:space="preserve"> </w:t>
      </w:r>
      <w:r>
        <w:t xml:space="preserve">test</w:t>
      </w:r>
    </w:p>
    <w:p>
      <w:pPr>
        <w:pStyle w:val="Compact"/>
        <w:numPr>
          <w:ilvl w:val="0"/>
          <w:numId w:val="1001"/>
        </w:numPr>
      </w:pPr>
      <w:r>
        <w:rPr>
          <w:rStyle w:val="VerbatimChar"/>
        </w:rPr>
        <w:t xml:space="preserve">thesis_hqnn2</w:t>
      </w:r>
      <w:r>
        <w:t xml:space="preserve">:</w:t>
      </w:r>
      <w:r>
        <w:t xml:space="preserve"> </w:t>
      </w:r>
      <w:r>
        <w:rPr>
          <w:rStyle w:val="VerbatimChar"/>
        </w:rPr>
        <w:t xml:space="preserve">78.61 ± 0.69</w:t>
      </w:r>
      <w:r>
        <w:t xml:space="preserve"> </w:t>
      </w:r>
      <w:r>
        <w:t xml:space="preserve">test</w:t>
      </w:r>
    </w:p>
    <w:p>
      <w:pPr>
        <w:pStyle w:val="Compact"/>
        <w:numPr>
          <w:ilvl w:val="0"/>
          <w:numId w:val="1001"/>
        </w:numPr>
      </w:pPr>
      <w:r>
        <w:t xml:space="preserve">documented</w:t>
      </w:r>
      <w:r>
        <w:t xml:space="preserve"> </w:t>
      </w:r>
      <w:r>
        <w:rPr>
          <w:rStyle w:val="VerbatimChar"/>
        </w:rPr>
        <w:t xml:space="preserve">V7 trainable quantum</w:t>
      </w:r>
      <w:r>
        <w:t xml:space="preserve">:</w:t>
      </w:r>
      <w:r>
        <w:t xml:space="preserve"> </w:t>
      </w:r>
      <w:r>
        <w:rPr>
          <w:rStyle w:val="VerbatimChar"/>
        </w:rPr>
        <w:t xml:space="preserve">65.02%</w:t>
      </w:r>
      <w:r>
        <w:t xml:space="preserve"> </w:t>
      </w:r>
      <w:r>
        <w:t xml:space="preserve">test</w:t>
      </w:r>
      <w:r>
        <w:t xml:space="preserve"> </w:t>
      </w:r>
      <w:r>
        <w:t xml:space="preserve">Therefore the paper must now be rewritten as a fair benchmark + engineering-lessons manuscript, not as a V7 accuracy-win manuscript.</w:t>
      </w:r>
      <w:r>
        <w:t xml:space="preserve"> </w:t>
      </w:r>
      <w:r>
        <w:t xml:space="preserve">Before using this draft for submission, reconcile claims against</w:t>
      </w:r>
      <w:r>
        <w:t xml:space="preserve"> </w:t>
      </w:r>
      <w:r>
        <w:rPr>
          <w:rStyle w:val="VerbatimChar"/>
        </w:rPr>
        <w:t xml:space="preserve">docs/SUBMISSION_BENCHMARK_2026-03-25.md</w:t>
      </w:r>
      <w:r>
        <w:t xml:space="preserve">,</w:t>
      </w:r>
      <w:r>
        <w:t xml:space="preserve"> </w:t>
      </w:r>
      <w:r>
        <w:rPr>
          <w:rStyle w:val="VerbatimChar"/>
        </w:rPr>
        <w:t xml:space="preserve">docs/PUBLICATION_STRATEGY_2026-03-22.md</w:t>
      </w:r>
      <w:r>
        <w:t xml:space="preserve">,</w:t>
      </w:r>
      <w:r>
        <w:t xml:space="preserve"> </w:t>
      </w:r>
      <w:r>
        <w:rPr>
          <w:rStyle w:val="VerbatimChar"/>
        </w:rPr>
        <w:t xml:space="preserve">docs/EXPERIMENTS.md</w:t>
      </w:r>
      <w:r>
        <w:t xml:space="preserve">, and</w:t>
      </w:r>
      <w:r>
        <w:t xml:space="preserve"> </w:t>
      </w:r>
      <w:r>
        <w:rPr>
          <w:rStyle w:val="VerbatimChar"/>
        </w:rPr>
        <w:t xml:space="preserve">experiments/*.json</w:t>
      </w:r>
      <w:r>
        <w:t xml:space="preserve">.</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extension of a master's-thesis study on quanvolutional neural networks for Ottoman-Turkish handwritten character recognition, a difficult 44-class low-data task with 3,894 grayscale samples. The study combines two complementary views of the problem: thesis-faithful model reproductions and current-local matched-budget ablations. Across multi-seed evaluation, the strongest reproduced evidence currently favors classical baselines rather than quantum variants. In the thesis-faithful family, the strongest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while the best reproduced thesis-faithful quantum baseline,</w:t>
      </w:r>
      <w:r>
        <w:t xml:space="preserve"> </w:t>
      </w:r>
      <w:r>
        <w:rPr>
          <w:rStyle w:val="VerbatimChar"/>
        </w:rPr>
        <w:t xml:space="preserve">thesis_hqnn2</w:t>
      </w:r>
      <w:r>
        <w:t xml:space="preserve">, reaches</w:t>
      </w:r>
      <w:r>
        <w:t xml:space="preserve"> </w:t>
      </w:r>
      <w:r>
        <w:rPr>
          <w:b/>
          <w:bCs/>
        </w:rPr>
        <w:t xml:space="preserve">78.61 ± 0.69%</w:t>
      </w:r>
      <w:r>
        <w:t xml:space="preserve">. In the current-local matched-budget family,</w:t>
      </w:r>
      <w:r>
        <w:t xml:space="preserve"> </w:t>
      </w:r>
      <w:r>
        <w:rPr>
          <w:rStyle w:val="VerbatimChar"/>
        </w:rPr>
        <w:t xml:space="preserve">classical_conv</w:t>
      </w:r>
      <w:r>
        <w:t xml:space="preserve"> </w:t>
      </w:r>
      <w:r>
        <w:t xml:space="preserve">reaches</w:t>
      </w:r>
      <w:r>
        <w:t xml:space="preserve"> </w:t>
      </w:r>
      <w:r>
        <w:rPr>
          <w:b/>
          <w:bCs/>
        </w:rPr>
        <w:t xml:space="preserve">81.40 ± 1.06%</w:t>
      </w:r>
      <w:r>
        <w:t xml:space="preserve">,</w:t>
      </w:r>
      <w:r>
        <w:t xml:space="preserve"> </w:t>
      </w:r>
      <w:r>
        <w:rPr>
          <w:rStyle w:val="VerbatimChar"/>
        </w:rPr>
        <w:t xml:space="preserve">param_linear</w:t>
      </w:r>
      <w:r>
        <w:t xml:space="preserve"> </w:t>
      </w:r>
      <w:r>
        <w:t xml:space="preserve">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We therefore do not claim a quantum advantage on this task. Instead, the scientific value of the work lies in three contributions: (1) a fair comparative benchmark that separates thesis-faithful and matched-budget families, (2) a trainable-quantum engineering case-study showing how information bottlenecks, gradient collapse, and optimizer/precision mistakes affect hybrid training, and (3) the documentation of a practical incompatibility between PyTorch AMP float16 autocasting and variational quantum circuit backpropagation at the quantum boundary. The stabilized V7 trainable model remains useful as an engineering result, reaching</w:t>
      </w:r>
      <w:r>
        <w:t xml:space="preserve"> </w:t>
      </w:r>
      <w:r>
        <w:rPr>
          <w:b/>
          <w:bCs/>
        </w:rPr>
        <w:t xml:space="preserve">65.02%</w:t>
      </w:r>
      <w:r>
        <w:t xml:space="preserve"> </w:t>
      </w:r>
      <w:r>
        <w:t xml:space="preserve">documented test accuracy while exposing concrete design rules for hybrid quantum-classical pipelines.</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4"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A central concern in the QML community is the preponderance of positive results: papers demonstrating quantum enhancement while omitting systematic failure analysis [see Bowles et al., 2024]. This "positive bias" undermines reproducibility and obscures the true practical limits of near-term quantum machine learning. In this work, we deliberately adopt a failure-first methodology, documenting every architectural failure in detail alongside our eventual successes.</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cbf0c7d4d40e2aab761c8359a194795f53f734e"/>
    <w:p>
      <w:pPr>
        <w:pStyle w:val="Heading3"/>
      </w:pPr>
      <w:r>
        <w:t xml:space="preserve">1.1 Contributions</w:t>
      </w:r>
    </w:p>
    <w:p>
      <w:pPr>
        <w:pStyle w:val="FirstParagraph"/>
      </w:pPr>
      <w:r>
        <w:t xml:space="preserve">Our contributions are fourfold:</w:t>
      </w:r>
    </w:p>
    <w:p>
      <w:pPr>
        <w:numPr>
          <w:ilvl w:val="0"/>
          <w:numId w:val="1002"/>
        </w:numPr>
      </w:pPr>
      <w:r>
        <w:rPr>
          <w:b/>
          <w:bCs/>
        </w:rPr>
        <w:t xml:space="preserve">Reproducible Benchmark Structure.</w:t>
      </w:r>
      <w:r>
        <w:t xml:space="preserve"> </w:t>
      </w:r>
      <w:r>
        <w:t xml:space="preserve">We organize the study into two analytically separate families: thesis-faithful reproductions and current-local matched-budget ablations. This prevents misleading direct comparisons between differently sized or differently motivated models and yields an artifact-backed benchmark picture for the repository.</w:t>
      </w:r>
    </w:p>
    <w:p>
      <w:pPr>
        <w:numPr>
          <w:ilvl w:val="0"/>
          <w:numId w:val="1002"/>
        </w:numPr>
      </w:pPr>
      <w:r>
        <w:rPr>
          <w:b/>
          <w:bCs/>
        </w:rPr>
        <w:t xml:space="preserve">Negative-Result Benchmark Evidence.</w:t>
      </w:r>
      <w:r>
        <w:t xml:space="preserve"> </w:t>
      </w:r>
      <w:r>
        <w:t xml:space="preserve">We show that the strongest reproduced evidence on this 44-class task currently favors classical baselines. The best thesis-faithful model is classical (</w:t>
      </w:r>
      <w:r>
        <w:rPr>
          <w:rStyle w:val="VerbatimChar"/>
        </w:rPr>
        <w:t xml:space="preserve">thesis_cnniiii</w:t>
      </w:r>
      <w:r>
        <w:t xml:space="preserve">), and the best current-local matched-budget model is also classical (</w:t>
      </w:r>
      <w:r>
        <w:rPr>
          <w:rStyle w:val="VerbatimChar"/>
        </w:rPr>
        <w:t xml:space="preserve">classical_conv</w:t>
      </w:r>
      <w:r>
        <w:t xml:space="preserve">). This makes the work more honest and more informative than a selective "quantum win" narrative.</w:t>
      </w:r>
    </w:p>
    <w:p>
      <w:pPr>
        <w:numPr>
          <w:ilvl w:val="0"/>
          <w:numId w:val="1002"/>
        </w:numPr>
      </w:pPr>
      <w:r>
        <w:rPr>
          <w:b/>
          <w:bCs/>
        </w:rPr>
        <w:t xml:space="preserve">Information Bottleneck and Gradient Stabilization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AMP--PennyLane Incompatibility Documentation.</w:t>
      </w:r>
      <w:r>
        <w:t xml:space="preserve"> </w:t>
      </w:r>
      <w:r>
        <w:t xml:space="preserve">We identify and document a concrete failure mode in which PyTorch AMP float16 autocasting corrupts variational quantum circuit backpropagation unless float32 is restored at the quantum boundary and optimizer stepping remains GradScaler-aware.</w:t>
      </w:r>
    </w:p>
    <w:bookmarkEnd w:id="11"/>
    <w:bookmarkStart w:id="12" w:name="X97f9738d2e9e0056174234bde6e8a252fc751a3"/>
    <w:p>
      <w:pPr>
        <w:pStyle w:val="Heading3"/>
      </w:pPr>
      <w:r>
        <w:t xml:space="preserve">1.2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2"/>
    <w:bookmarkStart w:id="13" w:name="X25ab42087c6954e689a26dce9edf91841fe7833"/>
    <w:p>
      <w:pPr>
        <w:pStyle w:val="Heading3"/>
      </w:pPr>
      <w:r>
        <w:t xml:space="preserve">1.3 Paper Organization</w:t>
      </w:r>
    </w:p>
    <w:p>
      <w:pPr>
        <w:pStyle w:val="FirstParagraph"/>
      </w:pPr>
      <w:r>
        <w:t xml:space="preserve">Section 2 reviews related work. Section 3 describes the dataset, architectures, and training pipelines. Section 4 presents the benchmark results, separating thesis-faithful reproductions, current-local matched-budget ablations, and the trainable-quantum engineering case-study. Section 5 discusses the scientific implications of the benchmark picture. Section 6 concludes with realistic publication takeaways and future work.</w:t>
      </w:r>
    </w:p>
    <w:p>
      <w:r>
        <w:pict>
          <v:rect style="width:0;height:1.5pt" o:hralign="center" o:hrstd="t" o:hr="t"/>
        </w:pict>
      </w:r>
    </w:p>
    <w:bookmarkEnd w:id="13"/>
    <w:bookmarkEnd w:id="14"/>
    <w:bookmarkStart w:id="19" w:name="Xe831035363742a0c7957cffd683edc86db2e5da"/>
    <w:p>
      <w:pPr>
        <w:pStyle w:val="Heading2"/>
      </w:pPr>
      <w:r>
        <w:t xml:space="preserve">2. Related Work</w:t>
      </w:r>
    </w:p>
    <w:bookmarkStart w:id="15"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opening the question of whether learned quantum parameters provide a practical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5"/>
    <w:bookmarkStart w:id="16"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6"/>
    <w:bookmarkStart w:id="17"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7"/>
    <w:bookmarkStart w:id="18" w:name="X716166ba9f5f807b9c2d309402adedde0f40954"/>
    <w:p>
      <w:pPr>
        <w:pStyle w:val="Heading3"/>
      </w:pPr>
      <w:r>
        <w:t xml:space="preserve">2.4 Ottoman Script Recognition and Thesis Context</w:t>
      </w:r>
    </w:p>
    <w:p>
      <w:pPr>
        <w:pStyle w:val="FirstParagraph"/>
      </w:pPr>
      <w:r>
        <w:t xml:space="preserve">Ottoman-Turkish handwriting recognition is an active research area given the historical significance of Ottoman documents [9]. Classical deep learning approaches have achieved moderate success on limited datasets.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pPr>
        <w:pStyle w:val="BodyText"/>
      </w:pPr>
      <w:r>
        <w:rPr>
          <w:i/>
          <w:iCs/>
        </w:rPr>
        <w:t xml:space="preserve">[References [9] and [11] to be completed with full citations]</w:t>
      </w:r>
    </w:p>
    <w:p>
      <w:r>
        <w:pict>
          <v:rect style="width:0;height:1.5pt" o:hralign="center" o:hrstd="t" o:hr="t"/>
        </w:pict>
      </w:r>
    </w:p>
    <w:bookmarkEnd w:id="18"/>
    <w:bookmarkEnd w:id="19"/>
    <w:bookmarkStart w:id="37" w:name="Xeaf7af16e3e46fe44e45519dfa10bf831051975"/>
    <w:p>
      <w:pPr>
        <w:pStyle w:val="Heading2"/>
      </w:pPr>
      <w:r>
        <w:t xml:space="preserve">3. Methodology</w:t>
      </w:r>
    </w:p>
    <w:bookmarkStart w:id="22"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0"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0"/>
    <w:bookmarkStart w:id="21" w:name="X1a5c038794f1b1b12c53b231b4e80b4d60d0f32"/>
    <w:p>
      <w:pPr>
        <w:pStyle w:val="Heading4"/>
      </w:pPr>
      <w:r>
        <w:t xml:space="preserve">3.1.2 Benchmark Families</w:t>
      </w:r>
    </w:p>
    <w:p>
      <w:pPr>
        <w:pStyle w:val="FirstParagraph"/>
      </w:pPr>
      <w:r>
        <w:t xml:space="preserve">The methodology separates three families of evidence:</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1"/>
    <w:bookmarkEnd w:id="22"/>
    <w:bookmarkStart w:id="26"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3"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3"/>
    <w:bookmarkStart w:id="24"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4"/>
    <w:bookmarkStart w:id="25"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5"/>
    <w:bookmarkEnd w:id="26"/>
    <w:bookmarkStart w:id="31"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7"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7"/>
    <w:bookmarkStart w:id="28"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28"/>
    <w:bookmarkStart w:id="29"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29"/>
    <w:bookmarkStart w:id="30"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0"/>
    <w:bookmarkEnd w:id="31"/>
    <w:bookmarkStart w:id="35" w:name="X1bbc021b1a99eddd638220db5b72e13872864cc"/>
    <w:p>
      <w:pPr>
        <w:pStyle w:val="Heading3"/>
      </w:pPr>
      <w:r>
        <w:t xml:space="preserve">3.4 Training Pipeline</w:t>
      </w:r>
    </w:p>
    <w:bookmarkStart w:id="32"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2"/>
    <w:bookmarkStart w:id="33"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3"/>
    <w:bookmarkStart w:id="34"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4"/>
    <w:bookmarkEnd w:id="35"/>
    <w:bookmarkStart w:id="36"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documented V7 case-study shown in this paper uses batch size 128 and 9 epochs</w:t>
      </w:r>
    </w:p>
    <w:p>
      <w:r>
        <w:pict>
          <v:rect style="width:0;height:1.5pt" o:hralign="center" o:hrstd="t" o:hr="t"/>
        </w:pict>
      </w:r>
    </w:p>
    <w:bookmarkEnd w:id="36"/>
    <w:bookmarkEnd w:id="37"/>
    <w:bookmarkStart w:id="51" w:name="X53709fa5153a4a4de327f15c577ea87486ba4d4"/>
    <w:p>
      <w:pPr>
        <w:pStyle w:val="Heading2"/>
      </w:pPr>
      <w:r>
        <w:t xml:space="preserve">4. Experimental Results</w:t>
      </w:r>
    </w:p>
    <w:bookmarkStart w:id="38" w:name="X69c15b762d782ff2060e09b497e8ab4807efdc1"/>
    <w:p>
      <w:pPr>
        <w:pStyle w:val="Heading3"/>
      </w:pPr>
      <w:r>
        <w:t xml:space="preserve">4.1 Benchmark Snapshot</w:t>
      </w:r>
    </w:p>
    <w:p>
      <w:pPr>
        <w:pStyle w:val="FirstParagraph"/>
      </w:pPr>
      <w:r>
        <w:t xml:space="preserve">The benchmark picture must be read in three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38"/>
    <w:bookmarkStart w:id="39" w:name="X645b65c649412ced6681951dfeea96fcc837894"/>
    <w:p>
      <w:pPr>
        <w:pStyle w:val="Heading3"/>
      </w:pPr>
      <w:r>
        <w:t xml:space="preserve">4.2 Thesis-Faithful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39"/>
    <w:bookmarkStart w:id="40" w:name="X9a7b2ddd3badb18103d56acfc775a36c6433169"/>
    <w:p>
      <w:pPr>
        <w:pStyle w:val="Heading3"/>
      </w:pPr>
      <w:r>
        <w:t xml:space="preserve">4.3 Current-Local Matched-Budget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0"/>
    <w:bookmarkStart w:id="43" w:name="X79d32a99c646d6d71507c1d1bfd9749eca778e6"/>
    <w:p>
      <w:pPr>
        <w:pStyle w:val="Heading3"/>
      </w:pPr>
      <w:r>
        <w:t xml:space="preserve">4.4 Trainable-Quantum Engineering Case-Study</w:t>
      </w:r>
    </w:p>
    <w:p>
      <w:pPr>
        <w:pStyle w:val="FirstParagraph"/>
      </w:pPr>
      <w:r>
        <w:t xml:space="preserve">The V1--V7 line remains scientifically useful, but it should be interpreted as an engineering case-study rather than as the main benchmark winner. Its value lies in showing what failed, what became trainable, and why.</w:t>
      </w:r>
    </w:p>
    <w:bookmarkStart w:id="41" w:name="Xa83841ea7deaedf2d63facc5928abab67f1aa5e"/>
    <w:p>
      <w:pPr>
        <w:pStyle w:val="Heading4"/>
      </w:pPr>
      <w:r>
        <w:t xml:space="preserve">4.4.1 Architectural Evolution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bl>
    <w:bookmarkEnd w:id="41"/>
    <w:bookmarkStart w:id="42" w:name="X40a2905a357b2fac1fe9f0ef268319f4a31a131"/>
    <w:p>
      <w:pPr>
        <w:pStyle w:val="Heading4"/>
      </w:pPr>
      <w:r>
        <w:t xml:space="preserve">4.4.2 V7 Full Training Curve</w:t>
      </w:r>
    </w:p>
    <w:p>
      <w:pPr>
        <w:pStyle w:val="FirstParagraph"/>
      </w:pPr>
      <w:r>
        <w:t xml:space="preserve">Complete epoch-by-epoch documented results for V7 (data_reuploading circuit, L4 GPU):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3.5688</w:t>
            </w:r>
          </w:p>
        </w:tc>
        <w:tc>
          <w:tcPr/>
          <w:p>
            <w:pPr>
              <w:pStyle w:val="Compact"/>
            </w:pPr>
            <w:r>
              <w:t xml:space="preserve">6.30%</w:t>
            </w:r>
          </w:p>
        </w:tc>
        <w:tc>
          <w:tcPr/>
          <w:p>
            <w:pPr>
              <w:pStyle w:val="Compact"/>
            </w:pPr>
            <w:r>
              <w:t xml:space="preserve">14.87%</w:t>
            </w:r>
          </w:p>
        </w:tc>
        <w:tc>
          <w:tcPr/>
          <w:p>
            <w:pPr>
              <w:pStyle w:val="Compact"/>
            </w:pPr>
            <w:r>
              <w:t xml:space="preserve">7.78e-04</w:t>
            </w:r>
          </w:p>
        </w:tc>
        <w:tc>
          <w:tcPr/>
          <w:p>
            <w:pPr>
              <w:pStyle w:val="Compact"/>
            </w:pPr>
            <w:r>
              <w:t xml:space="preserve">2.14e-02</w:t>
            </w:r>
          </w:p>
        </w:tc>
        <w:tc>
          <w:tcPr/>
          <w:p>
            <w:pPr>
              <w:pStyle w:val="Compact"/>
            </w:pPr>
            <w:r>
              <w:t xml:space="preserve">0.1000</w:t>
            </w:r>
          </w:p>
        </w:tc>
      </w:tr>
      <w:tr>
        <w:tc>
          <w:tcPr/>
          <w:p>
            <w:pPr>
              <w:pStyle w:val="Compact"/>
            </w:pPr>
            <w:r>
              <w:t xml:space="preserve">2</w:t>
            </w:r>
          </w:p>
        </w:tc>
        <w:tc>
          <w:tcPr/>
          <w:p>
            <w:pPr>
              <w:pStyle w:val="Compact"/>
            </w:pPr>
            <w:r>
              <w:t xml:space="preserve">3.1780</w:t>
            </w:r>
          </w:p>
        </w:tc>
        <w:tc>
          <w:tcPr/>
          <w:p>
            <w:pPr>
              <w:pStyle w:val="Compact"/>
            </w:pPr>
            <w:r>
              <w:t xml:space="preserve">18.52%</w:t>
            </w:r>
          </w:p>
        </w:tc>
        <w:tc>
          <w:tcPr/>
          <w:p>
            <w:pPr>
              <w:pStyle w:val="Compact"/>
            </w:pPr>
            <w:r>
              <w:t xml:space="preserve">34.40%</w:t>
            </w:r>
          </w:p>
        </w:tc>
        <w:tc>
          <w:tcPr/>
          <w:p>
            <w:pPr>
              <w:pStyle w:val="Compact"/>
            </w:pPr>
            <w:r>
              <w:t xml:space="preserve">5.67e-02</w:t>
            </w:r>
          </w:p>
        </w:tc>
        <w:tc>
          <w:tcPr/>
          <w:p>
            <w:pPr>
              <w:pStyle w:val="Compact"/>
            </w:pPr>
            <w:r>
              <w:t xml:space="preserve">7.90e-02</w:t>
            </w:r>
          </w:p>
        </w:tc>
        <w:tc>
          <w:tcPr/>
          <w:p>
            <w:pPr>
              <w:pStyle w:val="Compact"/>
            </w:pPr>
            <w:r>
              <w:t xml:space="preserve">0.0962</w:t>
            </w:r>
          </w:p>
        </w:tc>
      </w:tr>
      <w:tr>
        <w:tc>
          <w:tcPr/>
          <w:p>
            <w:pPr>
              <w:pStyle w:val="Compact"/>
            </w:pPr>
            <w:r>
              <w:t xml:space="preserve">3</w:t>
            </w:r>
          </w:p>
        </w:tc>
        <w:tc>
          <w:tcPr/>
          <w:p>
            <w:pPr>
              <w:pStyle w:val="Compact"/>
            </w:pPr>
            <w:r>
              <w:t xml:space="preserve">2.8565</w:t>
            </w:r>
          </w:p>
        </w:tc>
        <w:tc>
          <w:tcPr/>
          <w:p>
            <w:pPr>
              <w:pStyle w:val="Compact"/>
            </w:pPr>
            <w:r>
              <w:t xml:space="preserve">29.06%</w:t>
            </w:r>
          </w:p>
        </w:tc>
        <w:tc>
          <w:tcPr/>
          <w:p>
            <w:pPr>
              <w:pStyle w:val="Compact"/>
            </w:pPr>
            <w:r>
              <w:t xml:space="preserve">39.65%</w:t>
            </w:r>
          </w:p>
        </w:tc>
        <w:tc>
          <w:tcPr/>
          <w:p>
            <w:pPr>
              <w:pStyle w:val="Compact"/>
            </w:pPr>
            <w:r>
              <w:t xml:space="preserve">3.01e-01</w:t>
            </w:r>
          </w:p>
        </w:tc>
        <w:tc>
          <w:tcPr/>
          <w:p>
            <w:pPr>
              <w:pStyle w:val="Compact"/>
            </w:pPr>
            <w:r>
              <w:t xml:space="preserve">2.06e-01</w:t>
            </w:r>
          </w:p>
        </w:tc>
        <w:tc>
          <w:tcPr/>
          <w:p>
            <w:pPr>
              <w:pStyle w:val="Compact"/>
            </w:pPr>
            <w:r>
              <w:t xml:space="preserve">0.0940</w:t>
            </w:r>
          </w:p>
        </w:tc>
      </w:tr>
      <w:tr>
        <w:tc>
          <w:tcPr/>
          <w:p>
            <w:pPr>
              <w:pStyle w:val="Compact"/>
            </w:pPr>
            <w:r>
              <w:t xml:space="preserve">4</w:t>
            </w:r>
          </w:p>
        </w:tc>
        <w:tc>
          <w:tcPr/>
          <w:p>
            <w:pPr>
              <w:pStyle w:val="Compact"/>
            </w:pPr>
            <w:r>
              <w:t xml:space="preserve">2.7266</w:t>
            </w:r>
          </w:p>
        </w:tc>
        <w:tc>
          <w:tcPr/>
          <w:p>
            <w:pPr>
              <w:pStyle w:val="Compact"/>
            </w:pPr>
            <w:r>
              <w:t xml:space="preserve">33.54%</w:t>
            </w:r>
          </w:p>
        </w:tc>
        <w:tc>
          <w:tcPr/>
          <w:p>
            <w:pPr>
              <w:pStyle w:val="Compact"/>
            </w:pPr>
            <w:r>
              <w:t xml:space="preserve">40.23%</w:t>
            </w:r>
          </w:p>
        </w:tc>
        <w:tc>
          <w:tcPr/>
          <w:p>
            <w:pPr>
              <w:pStyle w:val="Compact"/>
            </w:pPr>
            <w:r>
              <w:t xml:space="preserve">3.05e-01</w:t>
            </w:r>
          </w:p>
        </w:tc>
        <w:tc>
          <w:tcPr/>
          <w:p>
            <w:pPr>
              <w:pStyle w:val="Compact"/>
            </w:pPr>
            <w:r>
              <w:t xml:space="preserve">1.26e-01</w:t>
            </w:r>
          </w:p>
        </w:tc>
        <w:tc>
          <w:tcPr/>
          <w:p>
            <w:pPr>
              <w:pStyle w:val="Compact"/>
            </w:pPr>
            <w:r>
              <w:t xml:space="preserve">0.0922</w:t>
            </w:r>
          </w:p>
        </w:tc>
      </w:tr>
      <w:tr>
        <w:tc>
          <w:tcPr/>
          <w:p>
            <w:pPr>
              <w:pStyle w:val="Compact"/>
            </w:pPr>
            <w:r>
              <w:t xml:space="preserve">5</w:t>
            </w:r>
          </w:p>
        </w:tc>
        <w:tc>
          <w:tcPr/>
          <w:p>
            <w:pPr>
              <w:pStyle w:val="Compact"/>
            </w:pPr>
            <w:r>
              <w:t xml:space="preserve">2.6620</w:t>
            </w:r>
          </w:p>
        </w:tc>
        <w:tc>
          <w:tcPr/>
          <w:p>
            <w:pPr>
              <w:pStyle w:val="Compact"/>
            </w:pPr>
            <w:r>
              <w:t xml:space="preserve">35.42%</w:t>
            </w:r>
          </w:p>
        </w:tc>
        <w:tc>
          <w:tcPr/>
          <w:p>
            <w:pPr>
              <w:pStyle w:val="Compact"/>
            </w:pPr>
            <w:r>
              <w:t xml:space="preserve">44.31%</w:t>
            </w:r>
          </w:p>
        </w:tc>
        <w:tc>
          <w:tcPr/>
          <w:p>
            <w:pPr>
              <w:pStyle w:val="Compact"/>
            </w:pPr>
            <w:r>
              <w:t xml:space="preserve">6.93e-02</w:t>
            </w:r>
          </w:p>
        </w:tc>
        <w:tc>
          <w:tcPr/>
          <w:p>
            <w:pPr>
              <w:pStyle w:val="Compact"/>
            </w:pPr>
            <w:r>
              <w:t xml:space="preserve">1.21e-01</w:t>
            </w:r>
          </w:p>
        </w:tc>
        <w:tc>
          <w:tcPr/>
          <w:p>
            <w:pPr>
              <w:pStyle w:val="Compact"/>
            </w:pPr>
            <w:r>
              <w:t xml:space="preserve">0.0895</w:t>
            </w:r>
          </w:p>
        </w:tc>
      </w:tr>
      <w:tr>
        <w:tc>
          <w:tcPr/>
          <w:p>
            <w:pPr>
              <w:pStyle w:val="Compact"/>
            </w:pPr>
            <w:r>
              <w:t xml:space="preserve">6</w:t>
            </w:r>
          </w:p>
        </w:tc>
        <w:tc>
          <w:tcPr/>
          <w:p>
            <w:pPr>
              <w:pStyle w:val="Compact"/>
            </w:pPr>
            <w:r>
              <w:t xml:space="preserve">2.4402</w:t>
            </w:r>
          </w:p>
        </w:tc>
        <w:tc>
          <w:tcPr/>
          <w:p>
            <w:pPr>
              <w:pStyle w:val="Compact"/>
            </w:pPr>
            <w:r>
              <w:t xml:space="preserve">41.46%</w:t>
            </w:r>
          </w:p>
        </w:tc>
        <w:tc>
          <w:tcPr/>
          <w:p>
            <w:pPr>
              <w:pStyle w:val="Compact"/>
            </w:pPr>
            <w:r>
              <w:t xml:space="preserve">48.10%</w:t>
            </w:r>
          </w:p>
        </w:tc>
        <w:tc>
          <w:tcPr/>
          <w:p>
            <w:pPr>
              <w:pStyle w:val="Compact"/>
            </w:pPr>
            <w:r>
              <w:t xml:space="preserve">6.90e-02</w:t>
            </w:r>
          </w:p>
        </w:tc>
        <w:tc>
          <w:tcPr/>
          <w:p>
            <w:pPr>
              <w:pStyle w:val="Compact"/>
            </w:pPr>
            <w:r>
              <w:t xml:space="preserve">2.13e-01</w:t>
            </w:r>
          </w:p>
        </w:tc>
        <w:tc>
          <w:tcPr/>
          <w:p>
            <w:pPr>
              <w:pStyle w:val="Compact"/>
            </w:pPr>
            <w:r>
              <w:t xml:space="preserve">0.0895</w:t>
            </w:r>
          </w:p>
        </w:tc>
      </w:tr>
      <w:tr>
        <w:tc>
          <w:tcPr/>
          <w:p>
            <w:pPr>
              <w:pStyle w:val="Compact"/>
            </w:pPr>
            <w:r>
              <w:t xml:space="preserve">7</w:t>
            </w:r>
          </w:p>
        </w:tc>
        <w:tc>
          <w:tcPr/>
          <w:p>
            <w:pPr>
              <w:pStyle w:val="Compact"/>
            </w:pPr>
            <w:r>
              <w:t xml:space="preserve">2.3886</w:t>
            </w:r>
          </w:p>
        </w:tc>
        <w:tc>
          <w:tcPr/>
          <w:p>
            <w:pPr>
              <w:pStyle w:val="Compact"/>
            </w:pPr>
            <w:r>
              <w:t xml:space="preserve">43.74%</w:t>
            </w:r>
          </w:p>
        </w:tc>
        <w:tc>
          <w:tcPr/>
          <w:p>
            <w:pPr>
              <w:pStyle w:val="Compact"/>
            </w:pPr>
            <w:r>
              <w:t xml:space="preserve">54.23%</w:t>
            </w:r>
          </w:p>
        </w:tc>
        <w:tc>
          <w:tcPr/>
          <w:p>
            <w:pPr>
              <w:pStyle w:val="Compact"/>
            </w:pPr>
            <w:r>
              <w:t xml:space="preserve">5.15e-02</w:t>
            </w:r>
          </w:p>
        </w:tc>
        <w:tc>
          <w:tcPr/>
          <w:p>
            <w:pPr>
              <w:pStyle w:val="Compact"/>
            </w:pPr>
            <w:r>
              <w:t xml:space="preserve">2.63e-01</w:t>
            </w:r>
          </w:p>
        </w:tc>
        <w:tc>
          <w:tcPr/>
          <w:p>
            <w:pPr>
              <w:pStyle w:val="Compact"/>
            </w:pPr>
            <w:r>
              <w:t xml:space="preserve">0.0882</w:t>
            </w:r>
          </w:p>
        </w:tc>
      </w:tr>
      <w:tr>
        <w:tc>
          <w:tcPr/>
          <w:p>
            <w:pPr>
              <w:pStyle w:val="Compact"/>
            </w:pPr>
            <w:r>
              <w:t xml:space="preserve">8</w:t>
            </w:r>
          </w:p>
        </w:tc>
        <w:tc>
          <w:tcPr/>
          <w:p>
            <w:pPr>
              <w:pStyle w:val="Compact"/>
            </w:pPr>
            <w:r>
              <w:t xml:space="preserve">~2.20</w:t>
            </w:r>
          </w:p>
        </w:tc>
        <w:tc>
          <w:tcPr/>
          <w:p>
            <w:pPr>
              <w:pStyle w:val="Compact"/>
            </w:pPr>
            <w:r>
              <w:t xml:space="preserve">~46%</w:t>
            </w:r>
          </w:p>
        </w:tc>
        <w:tc>
          <w:tcPr/>
          <w:p>
            <w:pPr>
              <w:pStyle w:val="Compact"/>
            </w:pPr>
            <w:r>
              <w:t xml:space="preserve">58.31%</w:t>
            </w:r>
          </w:p>
        </w:tc>
        <w:tc>
          <w:tcPr/>
          <w:p>
            <w:pPr>
              <w:pStyle w:val="Compact"/>
            </w:pPr>
            <w:r>
              <w:t xml:space="preserve">4.50e-02</w:t>
            </w:r>
          </w:p>
        </w:tc>
        <w:tc>
          <w:tcPr/>
          <w:p>
            <w:pPr>
              <w:pStyle w:val="Compact"/>
            </w:pPr>
            <w:r>
              <w:t xml:space="preserve">2.74e-01</w:t>
            </w:r>
          </w:p>
        </w:tc>
        <w:tc>
          <w:tcPr/>
          <w:p>
            <w:pPr>
              <w:pStyle w:val="Compact"/>
            </w:pPr>
            <w:r>
              <w:t xml:space="preserve">0.0883</w:t>
            </w:r>
          </w:p>
        </w:tc>
      </w:tr>
      <w:tr>
        <w:tc>
          <w:tcPr/>
          <w:p>
            <w:pPr>
              <w:pStyle w:val="Compact"/>
            </w:pPr>
            <w:r>
              <w:t xml:space="preserve">9</w:t>
            </w:r>
          </w:p>
        </w:tc>
        <w:tc>
          <w:tcPr/>
          <w:p>
            <w:pPr>
              <w:pStyle w:val="Compact"/>
            </w:pPr>
            <w:r>
              <w:t xml:space="preserve">2.0757</w:t>
            </w:r>
          </w:p>
        </w:tc>
        <w:tc>
          <w:tcPr/>
          <w:p>
            <w:pPr>
              <w:pStyle w:val="Compact"/>
            </w:pPr>
            <w:r>
              <w:t xml:space="preserve">55.98%</w:t>
            </w:r>
          </w:p>
        </w:tc>
        <w:tc>
          <w:tcPr/>
          <w:p>
            <w:pPr>
              <w:pStyle w:val="Compact"/>
            </w:pPr>
            <w:r>
              <w:rPr>
                <w:b/>
                <w:bCs/>
              </w:rPr>
              <w:t xml:space="preserve">67.35%</w:t>
            </w:r>
          </w:p>
        </w:tc>
        <w:tc>
          <w:tcPr/>
          <w:p>
            <w:pPr>
              <w:pStyle w:val="Compact"/>
            </w:pPr>
            <w:r>
              <w:t xml:space="preserve">2.88e-01</w:t>
            </w:r>
          </w:p>
        </w:tc>
        <w:tc>
          <w:tcPr/>
          <w:p>
            <w:pPr>
              <w:pStyle w:val="Compact"/>
            </w:pPr>
            <w:r>
              <w:t xml:space="preserve">1.70e-01</w:t>
            </w:r>
          </w:p>
        </w:tc>
        <w:tc>
          <w:tcPr/>
          <w:p>
            <w:pPr>
              <w:pStyle w:val="Compact"/>
            </w:pPr>
            <w:r>
              <w:t xml:space="preserve">0.0878</w:t>
            </w:r>
          </w:p>
        </w:tc>
      </w:tr>
    </w:tbl>
    <w:p>
      <w:pPr>
        <w:pStyle w:val="BodyText"/>
      </w:pPr>
      <w:r>
        <w:rPr>
          <w:b/>
          <w:bCs/>
        </w:rPr>
        <w:t xml:space="preserve">Documented test accuracy:</w:t>
      </w:r>
      <w:r>
        <w:t xml:space="preserve"> </w:t>
      </w:r>
      <w:r>
        <w:rPr>
          <w:rStyle w:val="VerbatimChar"/>
        </w:rPr>
        <w:t xml:space="preserve">65.02%</w:t>
      </w:r>
    </w:p>
    <w:p>
      <w:pPr>
        <w:pStyle w:val="BodyText"/>
      </w:pPr>
      <w:r>
        <w:t xml:space="preserve">The V7 result is not competitive with the strongest reproduced classical baselines, but it remains informative because it demonstrates that trainable hybrid quanvolution can be stabilized and meaningfully optimized after multiple failed versions.</w:t>
      </w:r>
    </w:p>
    <w:bookmarkEnd w:id="42"/>
    <w:bookmarkEnd w:id="43"/>
    <w:bookmarkStart w:id="44" w:name="X5ad91e983b6b541f7ce683063af073d19175527"/>
    <w:p>
      <w:pPr>
        <w:pStyle w:val="Heading3"/>
      </w:pPr>
      <w:r>
        <w:t xml:space="preserve">4.5 Information Bottleneck Analysis</w:t>
      </w:r>
    </w:p>
    <w:p>
      <w:pPr>
        <w:pStyle w:val="FirstParagraph"/>
      </w:pPr>
      <w:r>
        <w:t xml:space="preserve">Systematic reduction of feature-map dimensions reveals a critical spatial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67.35% (V7)</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44"/>
    <w:bookmarkStart w:id="47" w:name="X6f702096ec1d0a4d14501df92fb2d526ee3319f"/>
    <w:p>
      <w:pPr>
        <w:pStyle w:val="Heading3"/>
      </w:pPr>
      <w:r>
        <w:t xml:space="preserve">4.6 Gradient Flow Analysis</w:t>
      </w:r>
    </w:p>
    <w:bookmarkStart w:id="45"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45"/>
    <w:bookmarkStart w:id="46" w:name="v7-gradient-health"/>
    <w:p>
      <w:pPr>
        <w:pStyle w:val="Heading4"/>
      </w:pPr>
      <w:r>
        <w:t xml:space="preserve">V7 Gradient Health</w:t>
      </w:r>
    </w:p>
    <w:p>
      <w:pPr>
        <w:pStyle w:val="FirstParagraph"/>
      </w:pPr>
      <w:r>
        <w:t xml:space="preserve">Quantum gradient magnitude across all 9 epochs ranged from 7.78e-04 to 3.01e-01. The growth pattern (from negligible in epoch 1 to substantial in epochs 3-4 and 9) suggests a characteristic "cold start" dynamics in variational quantum circuits within hybrid architectures---the quantum circuit requires initial warm-up epochs before meaningful gradient signal propagates. This phenomenon warrants further investigation.</w:t>
      </w:r>
    </w:p>
    <w:bookmarkEnd w:id="46"/>
    <w:bookmarkEnd w:id="47"/>
    <w:bookmarkStart w:id="48" w:name="Xdd66c69647827740ed3bf000fa91cc0f5b5eba7"/>
    <w:p>
      <w:pPr>
        <w:pStyle w:val="Heading3"/>
      </w:pPr>
      <w:r>
        <w:t xml:space="preserve">4.7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48"/>
    <w:bookmarkStart w:id="49" w:name="X1a2189fc6bd9649d98d6324ff1bdcdf1578c218"/>
    <w:p>
      <w:pPr>
        <w:pStyle w:val="Heading3"/>
      </w:pPr>
      <w:r>
        <w:t xml:space="preserve">4.8 Quantum Computational Efficiency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49"/>
    <w:bookmarkStart w:id="50" w:name="X7e87489323f7811a54e845b94a61cbfd46c7952"/>
    <w:p>
      <w:pPr>
        <w:pStyle w:val="Heading3"/>
      </w:pPr>
      <w:r>
        <w:t xml:space="preserve">4.9 Comparative Interpretation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stabilized engineering case-study, not current benchmark leader</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0"/>
    <w:bookmarkEnd w:id="51"/>
    <w:bookmarkStart w:id="57" w:name="X735612638e4e736e4693e459c258977262c0dfc"/>
    <w:p>
      <w:pPr>
        <w:pStyle w:val="Heading2"/>
      </w:pPr>
      <w:r>
        <w:t xml:space="preserve">5. Discussion</w:t>
      </w:r>
    </w:p>
    <w:bookmarkStart w:id="52" w:name="X4105eea6633c59c70cc59e1d30ddf9f726d3e85"/>
    <w:p>
      <w:pPr>
        <w:pStyle w:val="Heading3"/>
      </w:pPr>
      <w:r>
        <w:t xml:space="preserve">5.1 What The Benchmark Now Shows</w:t>
      </w:r>
    </w:p>
    <w:p>
      <w:pPr>
        <w:pStyle w:val="FirstParagraph"/>
      </w:pPr>
      <w:r>
        <w:t xml:space="preserve">The most important scientific update in the repository is no longer the V4-to-V7 jump alone. The stronger conclusion is that, once the benchmark is organized fairly and run with multi-seed reporting, the strongest reproduced evidence currently favors classical baselines. This is true in both benchmark families considered here:</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simply constrains the valid claim: the current evidence supports an honest comparative benchmark and engineering analysis, not a quantum-win narrative.</w:t>
      </w:r>
    </w:p>
    <w:bookmarkEnd w:id="52"/>
    <w:bookmarkStart w:id="53" w:name="X9ee7b493ef1a5253e7beb81b06e12465a7470ab"/>
    <w:p>
      <w:pPr>
        <w:pStyle w:val="Heading3"/>
      </w:pPr>
      <w:r>
        <w:t xml:space="preserve">5.2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53"/>
    <w:bookmarkStart w:id="54" w:name="Xd5169bbd3549218ca119dab18a5e61d5fe02a32"/>
    <w:p>
      <w:pPr>
        <w:pStyle w:val="Heading3"/>
      </w:pPr>
      <w:r>
        <w:t xml:space="preserve">5.3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54"/>
    <w:bookmarkStart w:id="55" w:name="X8bd2ec2f481f7d84352b6b5c28b2c231c8e9267"/>
    <w:p>
      <w:pPr>
        <w:pStyle w:val="Heading3"/>
      </w:pPr>
      <w:r>
        <w:t xml:space="preserve">5.4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55"/>
    <w:bookmarkStart w:id="56" w:name="X97a7ad5bbf88a9d3caa5af9f9cc95ec2c69b361"/>
    <w:p>
      <w:pPr>
        <w:pStyle w:val="Heading3"/>
      </w:pPr>
      <w:r>
        <w:t xml:space="preserve">5.5 Limitations And Scope</w:t>
      </w:r>
    </w:p>
    <w:p>
      <w:pPr>
        <w:numPr>
          <w:ilvl w:val="0"/>
          <w:numId w:val="1016"/>
        </w:numPr>
      </w:pPr>
      <w:r>
        <w:rPr>
          <w:b/>
          <w:bCs/>
        </w:rPr>
        <w:t xml:space="preserve">No quantum advantage claimed.</w:t>
      </w:r>
      <w:r>
        <w:t xml:space="preserve"> </w:t>
      </w:r>
      <w:r>
        <w:t xml:space="preserve">The current benchmark picture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low-data scaling study, or robustness axis would materially strengthen the paper.</w:t>
      </w:r>
    </w:p>
    <w:p>
      <w:pPr>
        <w:numPr>
          <w:ilvl w:val="0"/>
          <w:numId w:val="1016"/>
        </w:numPr>
      </w:pPr>
      <w:r>
        <w:rPr>
          <w:b/>
          <w:bCs/>
        </w:rPr>
        <w:t xml:space="preserve">Trainable-quantum artifact gap.</w:t>
      </w:r>
      <w:r>
        <w:t xml:space="preserve"> </w:t>
      </w:r>
      <w:r>
        <w:t xml:space="preserve">The V7 result is currently documented from prior runs, but a fresh artifact-backed rerun would still improve the paper if that case-study remains central.</w:t>
      </w:r>
    </w:p>
    <w:p>
      <w:r>
        <w:pict>
          <v:rect style="width:0;height:1.5pt" o:hralign="center" o:hrstd="t" o:hr="t"/>
        </w:pict>
      </w:r>
    </w:p>
    <w:bookmarkEnd w:id="56"/>
    <w:bookmarkEnd w:id="57"/>
    <w:bookmarkStart w:id="58"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strongest current evidence in the repository favors classical baselines rather than quantum variants: the best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the documented stabilized trainable V7 case-study reaches</w:t>
      </w:r>
      <w:r>
        <w:t xml:space="preserve"> </w:t>
      </w:r>
      <w:r>
        <w:rPr>
          <w:b/>
          <w:bCs/>
        </w:rPr>
        <w:t xml:space="preserve">65.02%</w:t>
      </w:r>
      <w:r>
        <w:t xml:space="preserve">.</w:t>
      </w:r>
    </w:p>
    <w:p>
      <w:pPr>
        <w:pStyle w:val="BodyText"/>
      </w:pPr>
      <w:r>
        <w:t xml:space="preserve">The paper therefore should not claim quantum superiority. Its value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strengthening the benchmark rather than chasing an unsupported generic quantum-advantage claim: (1) add at least one stronger modern classical baseline, (2) add one broader validation axis such as low-data scaling or a second dataset, and (3) obtain a fresh artifact-backed rerun for the trainable V7 path if the engineering case-study is to remain prominent in the final submission.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w:t>
      </w:r>
      <w:r>
        <w:t xml:space="preserve"> </w:t>
      </w:r>
      <w:r>
        <w:rPr>
          <w:i/>
          <w:iCs/>
        </w:rPr>
        <w:t xml:space="preserve">[Ottoman script recognition reference to be added — search: "Ottoman handwriting recognition deep learning"]</w:t>
      </w:r>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et al. "Better classical surrogate models for quantum classifiers."</w:t>
      </w:r>
      <w:r>
        <w:t xml:space="preserve"> </w:t>
      </w:r>
      <w:r>
        <w:rPr>
          <w:i/>
          <w:iCs/>
        </w:rPr>
        <w:t xml:space="preserve">arXiv:2403.07998</w:t>
      </w:r>
      <w:r>
        <w:t xml:space="preserve"> </w:t>
      </w:r>
      <w:r>
        <w:t xml:space="preserve">(2024).</w:t>
      </w:r>
    </w:p>
    <w:p>
      <w:r>
        <w:pict>
          <v:rect style="width:0;height:1.5pt" o:hralign="center" o:hrstd="t" o:hr="t"/>
        </w:pict>
      </w:r>
    </w:p>
    <w:bookmarkEnd w:id="59"/>
    <w:bookmarkStart w:id="60" w:name="appendix-a-experimental-configuration"/>
    <w:p>
      <w:pPr>
        <w:pStyle w:val="Heading2"/>
      </w:pPr>
      <w:r>
        <w:t xml:space="preserve">Appendix A: Experimental Configuration</w:t>
      </w:r>
    </w:p>
    <w:p>
      <w:pPr>
        <w:pStyle w:val="FirstParagraph"/>
      </w:pPr>
      <w:r>
        <w:rPr>
          <w:i/>
          <w:iCs/>
        </w:rPr>
        <w:t xml:space="preserve">Complete hyperparameter settings, debug output, and per-version configurations documented in</w:t>
      </w:r>
      <w:r>
        <w:rPr>
          <w:i/>
          <w:iCs/>
        </w:rPr>
        <w:t xml:space="preserve"> </w:t>
      </w:r>
      <w:r>
        <w:rPr>
          <w:rStyle w:val="VerbatimChar"/>
          <w:i/>
          <w:iCs/>
        </w:rPr>
        <w:t xml:space="preserve">docs/EXPERIMENTS.md</w:t>
      </w:r>
      <w:r>
        <w:rPr>
          <w:i/>
          <w:iCs/>
        </w:rPr>
        <w:t xml:space="preserve">.</w:t>
      </w:r>
    </w:p>
    <w:bookmarkEnd w:id="60"/>
    <w:bookmarkStart w:id="62"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61">
        <w:r>
          <w:rPr>
            <w:rStyle w:val="Hyperlink"/>
          </w:rPr>
          <w:t xml:space="preserve">https://github.com/necatiincekara/Quanvolutional-Neural-Network</w:t>
        </w:r>
      </w:hyperlink>
    </w:p>
    <w:p>
      <w:pPr>
        <w:pStyle w:val="Compact"/>
        <w:numPr>
          <w:ilvl w:val="0"/>
          <w:numId w:val="1018"/>
        </w:numPr>
      </w:pPr>
      <w:r>
        <w:rPr>
          <w:b/>
          <w:bCs/>
        </w:rPr>
        <w:t xml:space="preserve">Training notebook:</w:t>
      </w:r>
      <w:r>
        <w:t xml:space="preserve"> </w:t>
      </w:r>
      <w:r>
        <w:rPr>
          <w:rStyle w:val="VerbatimChar"/>
        </w:rPr>
        <w:t xml:space="preserve">train_v7_colab.ipynb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rPr>
          <w:i/>
          <w:iCs/>
        </w:rPr>
        <w:t xml:space="preserve">[to be specified before submission]</w:t>
      </w:r>
    </w:p>
    <w:p>
      <w:pPr>
        <w:pStyle w:val="Compact"/>
        <w:numPr>
          <w:ilvl w:val="0"/>
          <w:numId w:val="1018"/>
        </w:numPr>
      </w:pPr>
      <w:r>
        <w:rPr>
          <w:b/>
          <w:bCs/>
        </w:rPr>
        <w:t xml:space="preserve">Dataset:</w:t>
      </w:r>
      <w:r>
        <w:t xml:space="preserve"> </w:t>
      </w:r>
      <w:r>
        <w:rPr>
          <w:i/>
          <w:iCs/>
        </w:rPr>
        <w:t xml:space="preserve">[access instructions to be added]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2026-03-25T20:50:50Z</dcterms:created>
  <dcterms:modified xsi:type="dcterms:W3CDTF">2026-03-25T20:50:50Z</dcterms:modified>
</cp:coreProperties>
</file>

<file path=docProps/custom.xml><?xml version="1.0" encoding="utf-8"?>
<Properties xmlns="http://schemas.openxmlformats.org/officeDocument/2006/custom-properties" xmlns:vt="http://schemas.openxmlformats.org/officeDocument/2006/docPropsVTypes"/>
</file>