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v8-quantum-extension-decision"/>
    <w:p>
      <w:pPr>
        <w:pStyle w:val="Heading1"/>
      </w:pPr>
      <w:r>
        <w:t xml:space="preserve">V8 Quantum Extension Decision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17, 2026</w:t>
      </w:r>
      <w:r>
        <w:br/>
      </w:r>
      <w:r>
        <w:rPr>
          <w:b/>
          <w:bCs/>
        </w:rPr>
        <w:t xml:space="preserve">Decision:</w:t>
      </w:r>
      <w:r>
        <w:t xml:space="preserve"> </w:t>
      </w:r>
      <w:r>
        <w:t xml:space="preserve">Do not launch a new V7 or V8 training run now. Treat V8 as a design-note and smoke-test candidate only.</w:t>
      </w:r>
    </w:p>
    <w:bookmarkStart w:id="9" w:name="evidence-base"/>
    <w:p>
      <w:pPr>
        <w:pStyle w:val="Heading2"/>
      </w:pPr>
      <w:r>
        <w:t xml:space="preserve">Evidence Base</w:t>
      </w:r>
    </w:p>
    <w:p>
      <w:pPr>
        <w:pStyle w:val="Compact"/>
        <w:numPr>
          <w:ilvl w:val="0"/>
          <w:numId w:val="1001"/>
        </w:numPr>
      </w:pPr>
      <w:r>
        <w:t xml:space="preserve">V7 is not competitive with the main classical anchors. The best artifact-backed V7 rerun is the April 6, 2026 resumed Colab L4 run with</w:t>
      </w:r>
      <w:r>
        <w:t xml:space="preserve"> </w:t>
      </w:r>
      <w:r>
        <w:rPr>
          <w:rStyle w:val="VerbatimChar"/>
        </w:rPr>
        <w:t xml:space="preserve">72.89%</w:t>
      </w:r>
      <w:r>
        <w:t xml:space="preserve"> </w:t>
      </w:r>
      <w:r>
        <w:t xml:space="preserve">best validation and</w:t>
      </w:r>
      <w:r>
        <w:t xml:space="preserve"> </w:t>
      </w:r>
      <w:r>
        <w:rPr>
          <w:rStyle w:val="VerbatimChar"/>
        </w:rPr>
        <w:t xml:space="preserve">72.53%</w:t>
      </w:r>
      <w:r>
        <w:t xml:space="preserve"> </w:t>
      </w:r>
      <w:r>
        <w:t xml:space="preserve">test accuracy.</w:t>
      </w:r>
    </w:p>
    <w:p>
      <w:pPr>
        <w:pStyle w:val="Compact"/>
        <w:numPr>
          <w:ilvl w:val="0"/>
          <w:numId w:val="1001"/>
        </w:numPr>
      </w:pPr>
      <w:r>
        <w:t xml:space="preserve">The strongest current full-data result is</w:t>
      </w:r>
      <w:r>
        <w:t xml:space="preserve"> </w:t>
      </w:r>
      <w:r>
        <w:rPr>
          <w:rStyle w:val="VerbatimChar"/>
        </w:rPr>
        <w:t xml:space="preserve">resnet18_cifar_gray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88.13 ± 0.82%</w:t>
      </w:r>
      <w:r>
        <w:t xml:space="preserve"> </w:t>
      </w:r>
      <w:r>
        <w:t xml:space="preserve">test accuracy.</w:t>
      </w:r>
    </w:p>
    <w:p>
      <w:pPr>
        <w:pStyle w:val="Compact"/>
        <w:numPr>
          <w:ilvl w:val="0"/>
          <w:numId w:val="1001"/>
        </w:numPr>
      </w:pPr>
      <w:r>
        <w:t xml:space="preserve">The strongest thesis-faithful result is</w:t>
      </w:r>
      <w:r>
        <w:t xml:space="preserve"> </w:t>
      </w:r>
      <w:r>
        <w:rPr>
          <w:rStyle w:val="VerbatimChar"/>
        </w:rPr>
        <w:t xml:space="preserve">thesis_cnniiii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85.26 ± 0.97%</w:t>
      </w:r>
      <w:r>
        <w:t xml:space="preserve"> </w:t>
      </w:r>
      <w:r>
        <w:t xml:space="preserve">test accuracy.</w:t>
      </w:r>
    </w:p>
    <w:p>
      <w:pPr>
        <w:pStyle w:val="Compact"/>
        <w:numPr>
          <w:ilvl w:val="0"/>
          <w:numId w:val="1001"/>
        </w:numPr>
      </w:pPr>
      <w:r>
        <w:t xml:space="preserve">The May 2026 low-data signal belongs to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, not to V7.</w:t>
      </w:r>
    </w:p>
    <w:p>
      <w:pPr>
        <w:pStyle w:val="Compact"/>
        <w:numPr>
          <w:ilvl w:val="0"/>
          <w:numId w:val="1001"/>
        </w:numPr>
      </w:pPr>
      <w:r>
        <w:t xml:space="preserve">Current QML benchmarking literature supports strong classical comparators and cautious claims, not open-ended quantum reruns.</w:t>
      </w:r>
    </w:p>
    <w:bookmarkEnd w:id="9"/>
    <w:bookmarkStart w:id="10" w:name="why-no-immediate-training"/>
    <w:p>
      <w:pPr>
        <w:pStyle w:val="Heading2"/>
      </w:pPr>
      <w:r>
        <w:t xml:space="preserve">Why No Immediate Training</w:t>
      </w:r>
    </w:p>
    <w:p>
      <w:pPr>
        <w:pStyle w:val="FirstParagraph"/>
      </w:pPr>
      <w:r>
        <w:t xml:space="preserve">New V7 training would mostly spend compute to re-confirm a non-leading trainable-quantum case-study. New V8 training is not justified until the architecture has a targeted rationale and an early smoke result showing better gradient health or a credible low-data/robustness contribution.</w:t>
      </w:r>
    </w:p>
    <w:bookmarkEnd w:id="10"/>
    <w:bookmarkStart w:id="11" w:name="candidate-v8-directions"/>
    <w:p>
      <w:pPr>
        <w:pStyle w:val="Heading2"/>
      </w:pPr>
      <w:r>
        <w:t xml:space="preserve">Candidate V8 Directions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First Artifact</w:t>
            </w:r>
          </w:p>
        </w:tc>
        <w:tc>
          <w:tcPr/>
          <w:p>
            <w:pPr>
              <w:pStyle w:val="Compact"/>
            </w:pPr>
            <w:r>
              <w:t xml:space="preserve">Stop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Residual/deep quanvolution</w:t>
            </w:r>
          </w:p>
        </w:tc>
        <w:tc>
          <w:tcPr/>
          <w:p>
            <w:pPr>
              <w:pStyle w:val="Compact"/>
            </w:pPr>
            <w:r>
              <w:t xml:space="preserve">Deep quanvolution literature emphasizes residual paths and gradient propagation.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docs/V8_DESIGN_NOTE.md</w:t>
            </w:r>
            <w:r>
              <w:t xml:space="preserve"> </w:t>
            </w:r>
            <w:r>
              <w:t xml:space="preserve">plus a gradient-health smoke on a tiny subset.</w:t>
            </w:r>
          </w:p>
        </w:tc>
        <w:tc>
          <w:tcPr/>
          <w:p>
            <w:pPr>
              <w:pStyle w:val="Compact"/>
            </w:pPr>
            <w:r>
              <w:t xml:space="preserve">Stop if gradients remain weaker than V7 or accuracy does not move above a matched classical replacement in smoke.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Equivariant/local-cost ansatz</w:t>
            </w:r>
          </w:p>
        </w:tc>
        <w:tc>
          <w:tcPr/>
          <w:p>
            <w:pPr>
              <w:pStyle w:val="Compact"/>
            </w:pPr>
            <w:r>
              <w:t xml:space="preserve">2026 equivariant QCNN work suggests symmetry and locality may improve trainability and measurement efficiency.</w:t>
            </w:r>
          </w:p>
        </w:tc>
        <w:tc>
          <w:tcPr/>
          <w:p>
            <w:pPr>
              <w:pStyle w:val="Compact"/>
            </w:pPr>
            <w:r>
              <w:t xml:space="preserve">A circuit review note and a toy ansatz benchmark, not full OCR training.</w:t>
            </w:r>
          </w:p>
        </w:tc>
        <w:tc>
          <w:tcPr/>
          <w:p>
            <w:pPr>
              <w:pStyle w:val="Compact"/>
            </w:pPr>
            <w:r>
              <w:t xml:space="preserve">Stop if the ansatz increases runtime without measurable gradient or validation benefit.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Low-data robustness extension</w:t>
            </w:r>
          </w:p>
        </w:tc>
        <w:tc>
          <w:tcPr/>
          <w:p>
            <w:pPr>
              <w:pStyle w:val="Compact"/>
            </w:pPr>
            <w:r>
              <w:t xml:space="preserve">The positive current-local signal is in</w:t>
            </w:r>
            <w:r>
              <w:t xml:space="preserve"> </w:t>
            </w:r>
            <w:r>
              <w:rPr>
                <w:rStyle w:val="VerbatimChar"/>
              </w:rPr>
              <w:t xml:space="preserve">non_trainable_quantum</w:t>
            </w:r>
            <w:r>
              <w:t xml:space="preserve">, so robustness/low-data is the most evidence-aligned quantum axis.</w:t>
            </w:r>
          </w:p>
        </w:tc>
        <w:tc>
          <w:tcPr/>
          <w:p>
            <w:pPr>
              <w:pStyle w:val="Compact"/>
            </w:pPr>
            <w:r>
              <w:t xml:space="preserve">Add second-seed/fraction or perturbation tests only for the current-local pair.</w:t>
            </w:r>
          </w:p>
        </w:tc>
        <w:tc>
          <w:tcPr/>
          <w:p>
            <w:pPr>
              <w:pStyle w:val="Compact"/>
            </w:pPr>
            <w:r>
              <w:t xml:space="preserve">Stop if the signal disappears or remains statistically weak under additional controls.</w:t>
            </w:r>
          </w:p>
        </w:tc>
      </w:tr>
    </w:tbl>
    <w:bookmarkEnd w:id="11"/>
    <w:bookmarkStart w:id="12" w:name="mandatory-gates-before-v8-training"/>
    <w:p>
      <w:pPr>
        <w:pStyle w:val="Heading2"/>
      </w:pPr>
      <w:r>
        <w:t xml:space="preserve">Mandatory Gates Before V8 Training</w:t>
      </w:r>
    </w:p>
    <w:p>
      <w:pPr>
        <w:pStyle w:val="FirstParagraph"/>
      </w:pPr>
      <w:r>
        <w:t xml:space="preserve">Any V8 training proposal must pass all of these gates:</w:t>
      </w:r>
    </w:p>
    <w:p>
      <w:pPr>
        <w:pStyle w:val="Compact"/>
        <w:numPr>
          <w:ilvl w:val="0"/>
          <w:numId w:val="1002"/>
        </w:numPr>
      </w:pPr>
      <w:r>
        <w:t xml:space="preserve">Preserve at least</w:t>
      </w:r>
      <w:r>
        <w:t xml:space="preserve"> </w:t>
      </w:r>
      <w:r>
        <w:rPr>
          <w:rStyle w:val="VerbatimChar"/>
        </w:rPr>
        <w:t xml:space="preserve">8x8</w:t>
      </w:r>
      <w:r>
        <w:t xml:space="preserve"> </w:t>
      </w:r>
      <w:r>
        <w:t xml:space="preserve">pre-quantum spatial resolution or justify the information bottleneck explicitly.</w:t>
      </w:r>
    </w:p>
    <w:p>
      <w:pPr>
        <w:pStyle w:val="Compact"/>
        <w:numPr>
          <w:ilvl w:val="0"/>
          <w:numId w:val="1002"/>
        </w:numPr>
      </w:pPr>
      <w:r>
        <w:t xml:space="preserve">Keep AMP away from the quantum boundary.</w:t>
      </w:r>
    </w:p>
    <w:p>
      <w:pPr>
        <w:pStyle w:val="Compact"/>
        <w:numPr>
          <w:ilvl w:val="0"/>
          <w:numId w:val="1002"/>
        </w:numPr>
      </w:pPr>
      <w:r>
        <w:t xml:space="preserve">Include a matched classical replacement with comparable parameter and data flow.</w:t>
      </w:r>
    </w:p>
    <w:p>
      <w:pPr>
        <w:pStyle w:val="Compact"/>
        <w:numPr>
          <w:ilvl w:val="0"/>
          <w:numId w:val="1002"/>
        </w:numPr>
      </w:pPr>
      <w:r>
        <w:t xml:space="preserve">Show early gradient health improvement over V7 on a small smoke run.</w:t>
      </w:r>
    </w:p>
    <w:p>
      <w:pPr>
        <w:pStyle w:val="Compact"/>
        <w:numPr>
          <w:ilvl w:val="0"/>
          <w:numId w:val="1002"/>
        </w:numPr>
      </w:pPr>
      <w:r>
        <w:t xml:space="preserve">Define target metric, expected runtime, platform, and stop condition before using Colab.</w:t>
      </w:r>
    </w:p>
    <w:p>
      <w:pPr>
        <w:pStyle w:val="Compact"/>
        <w:numPr>
          <w:ilvl w:val="0"/>
          <w:numId w:val="1002"/>
        </w:numPr>
      </w:pPr>
      <w:r>
        <w:t xml:space="preserve">Keep benchmark families separate: thesis-faithful, current-local, modern-classical, and trainable-quantum case-study.</w:t>
      </w:r>
    </w:p>
    <w:bookmarkEnd w:id="12"/>
    <w:bookmarkStart w:id="13" w:name="colab-policy"/>
    <w:p>
      <w:pPr>
        <w:pStyle w:val="Heading2"/>
      </w:pPr>
      <w:r>
        <w:t xml:space="preserve">Colab Policy</w:t>
      </w:r>
    </w:p>
    <w:p>
      <w:pPr>
        <w:pStyle w:val="FirstParagraph"/>
      </w:pPr>
      <w:r>
        <w:t xml:space="preserve">No Colab CU should be spent for V7/V8 artifact hygiene. Colab is justified only if a small local or cheap remote smoke produces paper-impact evidence, such as a clear low-data robustness signal, improved trainability over V7, or reviewer-requested confirmation.</w:t>
      </w:r>
    </w:p>
    <w:bookmarkEnd w:id="13"/>
    <w:bookmarkStart w:id="14" w:name="publication-recommendation"/>
    <w:p>
      <w:pPr>
        <w:pStyle w:val="Heading2"/>
      </w:pPr>
      <w:r>
        <w:t xml:space="preserve">Publication Recommendation</w:t>
      </w:r>
    </w:p>
    <w:p>
      <w:pPr>
        <w:pStyle w:val="FirstParagraph"/>
      </w:pPr>
      <w:r>
        <w:t xml:space="preserve">For the current submission, use V7 as an engineering case-study and emphasize:</w:t>
      </w:r>
    </w:p>
    <w:p>
      <w:pPr>
        <w:pStyle w:val="Compact"/>
        <w:numPr>
          <w:ilvl w:val="0"/>
          <w:numId w:val="1003"/>
        </w:numPr>
      </w:pPr>
      <w:r>
        <w:t xml:space="preserve">strong classical full-data hierarchy,</w:t>
      </w:r>
    </w:p>
    <w:p>
      <w:pPr>
        <w:pStyle w:val="Compact"/>
        <w:numPr>
          <w:ilvl w:val="0"/>
          <w:numId w:val="1003"/>
        </w:numPr>
      </w:pPr>
      <w:r>
        <w:t xml:space="preserve">a scoped current-local low-data quantum signal,</w:t>
      </w:r>
    </w:p>
    <w:p>
      <w:pPr>
        <w:pStyle w:val="Compact"/>
        <w:numPr>
          <w:ilvl w:val="0"/>
          <w:numId w:val="1003"/>
        </w:numPr>
      </w:pPr>
      <w:r>
        <w:t xml:space="preserve">trainable-quantum stabilization lessons,</w:t>
      </w:r>
    </w:p>
    <w:p>
      <w:pPr>
        <w:pStyle w:val="Compact"/>
        <w:numPr>
          <w:ilvl w:val="0"/>
          <w:numId w:val="1003"/>
        </w:numPr>
      </w:pPr>
      <w:r>
        <w:t xml:space="preserve">and clear limits on quantum advantage claims.</w:t>
      </w:r>
    </w:p>
    <w:p>
      <w:pPr>
        <w:pStyle w:val="FirstParagraph"/>
      </w:pPr>
      <w:r>
        <w:t xml:space="preserve">V8 belongs in future work unless the design-note plus smoke-test path produces artifact-backed evidence.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2026-05-17T14:42:41Z</dcterms:created>
  <dcterms:modified xsi:type="dcterms:W3CDTF">2026-05-17T14:42:41Z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