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ext-phase-master-plan"/>
    <w:p>
      <w:pPr>
        <w:pStyle w:val="Heading1"/>
      </w:pPr>
      <w:r>
        <w:t xml:space="preserve">Next Phase Master Plan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5,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16, 2026</w:t>
      </w:r>
    </w:p>
    <w:p>
      <w:pPr>
        <w:pStyle w:val="BodyText"/>
      </w:pPr>
      <w:r>
        <w:t xml:space="preserve">This document is the post-upgrade master plan for the study. It assumes the current benchmark truth remains unchanged and uses the upgraded Codex layer to reduce ambiguity in the next research phase.</w:t>
      </w:r>
    </w:p>
    <w:p>
      <w:pPr>
        <w:pStyle w:val="BlockText"/>
      </w:pPr>
      <w:r>
        <w:t xml:space="preserve">Update, April 30, 2026:</w:t>
      </w:r>
      <w:r>
        <w:t xml:space="preserve"> </w:t>
      </w:r>
      <w:r>
        <w:t xml:space="preserve">The April 6 resumed Colab V7 rerun remains complete at</w:t>
      </w:r>
      <w:r>
        <w:t xml:space="preserve"> </w:t>
      </w:r>
      <w:r>
        <w:rPr>
          <w:rStyle w:val="VerbatimChar"/>
        </w:rPr>
        <w:t xml:space="preserve">72.89%</w:t>
      </w:r>
      <w:r>
        <w:t xml:space="preserve"> </w:t>
      </w:r>
      <w:r>
        <w:t xml:space="preserve">best validation and</w:t>
      </w:r>
      <w:r>
        <w:t xml:space="preserve"> </w:t>
      </w:r>
      <w:r>
        <w:rPr>
          <w:rStyle w:val="VerbatimChar"/>
        </w:rPr>
        <w:t xml:space="preserve">72.53%</w:t>
      </w:r>
      <w:r>
        <w:t xml:space="preserve"> </w:t>
      </w:r>
      <w:r>
        <w:t xml:space="preserve">test accuracy.</w:t>
      </w:r>
      <w:r>
        <w:t xml:space="preserve"> </w:t>
      </w:r>
      <w:r>
        <w:t xml:space="preserve">The April 27 clean non-resumed Colab V7 rerun reached</w:t>
      </w:r>
      <w:r>
        <w:t xml:space="preserve"> </w:t>
      </w:r>
      <w:r>
        <w:rPr>
          <w:rStyle w:val="VerbatimChar"/>
        </w:rPr>
        <w:t xml:space="preserve">69.97%</w:t>
      </w:r>
      <w:r>
        <w:t xml:space="preserve"> </w:t>
      </w:r>
      <w:r>
        <w:t xml:space="preserve">best validation and</w:t>
      </w:r>
      <w:r>
        <w:t xml:space="preserve"> </w:t>
      </w:r>
      <w:r>
        <w:rPr>
          <w:rStyle w:val="VerbatimChar"/>
        </w:rPr>
        <w:t xml:space="preserve">65.88%</w:t>
      </w:r>
      <w:r>
        <w:t xml:space="preserve"> </w:t>
      </w:r>
      <w:r>
        <w:t xml:space="preserve">test; its JSON row is reconstructed from captured notebook output because the runtime disconnected before the artifact-copy cell copied JSON to Drive.</w:t>
      </w:r>
      <w:r>
        <w:t xml:space="preserve"> </w:t>
      </w:r>
      <w:r>
        <w:t xml:space="preserve">The stronger modern classical baseline</w:t>
      </w:r>
      <w:r>
        <w:t xml:space="preserve"> </w:t>
      </w:r>
      <w:r>
        <w:rPr>
          <w:rStyle w:val="VerbatimChar"/>
        </w:rPr>
        <w:t xml:space="preserve">resnet18_cifar_gray</w:t>
      </w:r>
      <w:r>
        <w:t xml:space="preserve"> </w:t>
      </w:r>
      <w:r>
        <w:t xml:space="preserve">has now completed three local seeds at</w:t>
      </w:r>
      <w:r>
        <w:t xml:space="preserve"> </w:t>
      </w:r>
      <w:r>
        <w:rPr>
          <w:rStyle w:val="VerbatimChar"/>
        </w:rPr>
        <w:t xml:space="preserve">88.13 ± 0.82%</w:t>
      </w:r>
      <w:r>
        <w:t xml:space="preserve"> </w:t>
      </w:r>
      <w:r>
        <w:t xml:space="preserve">test accuracy.</w:t>
      </w:r>
      <w:r>
        <w:t xml:space="preserve"> </w:t>
      </w:r>
      <w:r>
        <w:t xml:space="preserve">The user-reported pre-low-data Colab budget was approximately</w:t>
      </w:r>
      <w:r>
        <w:t xml:space="preserve"> </w:t>
      </w:r>
      <w:r>
        <w:rPr>
          <w:rStyle w:val="VerbatimChar"/>
        </w:rPr>
        <w:t xml:space="preserve">245</w:t>
      </w:r>
      <w:r>
        <w:t xml:space="preserve"> </w:t>
      </w:r>
      <w:r>
        <w:t xml:space="preserve">computing units; the current post-confirmation balance has not been remeasured in this repo.</w:t>
      </w:r>
      <w:r>
        <w:t xml:space="preserve"> </w:t>
      </w:r>
      <w:r>
        <w:t xml:space="preserve">Default policy is still conservative for V7 reruns, but spending surplus Colab units can be justified if the experiment is paper-impactful before the next renewal cap.</w:t>
      </w:r>
    </w:p>
    <w:p>
      <w:pPr>
        <w:pStyle w:val="BlockText"/>
      </w:pPr>
      <w:r>
        <w:t xml:space="preserve">Update, May 16, 2026:</w:t>
      </w:r>
      <w:r>
        <w:t xml:space="preserve"> </w:t>
      </w:r>
      <w:r>
        <w:t xml:space="preserve">The low-data scaling confirmation is complete for the current-local pair across seeds</w:t>
      </w:r>
      <w:r>
        <w:t xml:space="preserve"> </w:t>
      </w:r>
      <w:r>
        <w:rPr>
          <w:rStyle w:val="VerbatimChar"/>
        </w:rPr>
        <w:t xml:space="preserve">42</w:t>
      </w:r>
      <w:r>
        <w:t xml:space="preserve">,</w:t>
      </w:r>
      <w:r>
        <w:t xml:space="preserve"> </w:t>
      </w:r>
      <w:r>
        <w:rPr>
          <w:rStyle w:val="VerbatimChar"/>
        </w:rPr>
        <w:t xml:space="preserve">43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44</w:t>
      </w:r>
      <w:r>
        <w:t xml:space="preserve">.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exceeded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at every measured fraction (</w:t>
      </w:r>
      <w:r>
        <w:rPr>
          <w:rStyle w:val="VerbatimChar"/>
        </w:rPr>
        <w:t xml:space="preserve">10%</w:t>
      </w:r>
      <w:r>
        <w:t xml:space="preserve">,</w:t>
      </w:r>
      <w:r>
        <w:t xml:space="preserve"> </w:t>
      </w:r>
      <w:r>
        <w:rPr>
          <w:rStyle w:val="VerbatimChar"/>
        </w:rPr>
        <w:t xml:space="preserve">25%</w:t>
      </w:r>
      <w:r>
        <w:t xml:space="preserve">,</w:t>
      </w:r>
      <w:r>
        <w:t xml:space="preserve"> </w:t>
      </w:r>
      <w:r>
        <w:rPr>
          <w:rStyle w:val="VerbatimChar"/>
        </w:rPr>
        <w:t xml:space="preserve">50%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100%</w:t>
      </w:r>
      <w:r>
        <w:t xml:space="preserve">), with the strongest low-data margins at</w:t>
      </w:r>
      <w:r>
        <w:t xml:space="preserve"> </w:t>
      </w:r>
      <w:r>
        <w:rPr>
          <w:rStyle w:val="VerbatimChar"/>
        </w:rPr>
        <w:t xml:space="preserve">25%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10%</w:t>
      </w:r>
      <w:r>
        <w:t xml:space="preserve">.</w:t>
      </w:r>
      <w:r>
        <w:t xml:space="preserve"> </w:t>
      </w:r>
      <w:r>
        <w:t xml:space="preserve">The thesis-faithful low-data check remains a seed-42 pilot and is still classical-favored: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 </w:t>
      </w:r>
      <w:r>
        <w:t xml:space="preserve">stays ahead of</w:t>
      </w:r>
      <w:r>
        <w:t xml:space="preserve"> </w:t>
      </w:r>
      <w:r>
        <w:rPr>
          <w:rStyle w:val="VerbatimChar"/>
        </w:rPr>
        <w:t xml:space="preserve">thesis_hqnn2</w:t>
      </w:r>
      <w:r>
        <w:t xml:space="preserve">.</w:t>
      </w:r>
      <w:r>
        <w:t xml:space="preserve"> </w:t>
      </w:r>
      <w:r>
        <w:t xml:space="preserve">Treat this as a narrow current-local low-data competitiveness signal, not a general quantum advantage claim.</w:t>
      </w:r>
    </w:p>
    <w:bookmarkStart w:id="9" w:name="Xa3a2c5c736773e48aed54337d6ce1658f780493"/>
    <w:p>
      <w:pPr>
        <w:pStyle w:val="Heading2"/>
      </w:pPr>
      <w:r>
        <w:t xml:space="preserve">1. Immediate Operating Sequence</w:t>
      </w:r>
    </w:p>
    <w:p>
      <w:pPr>
        <w:pStyle w:val="FirstParagraph"/>
      </w:pPr>
      <w:r>
        <w:t xml:space="preserve">These are the next exact actions, in order: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Finish submission-facing document synchronization</w:t>
      </w:r>
    </w:p>
    <w:p>
      <w:pPr>
        <w:pStyle w:val="Compact"/>
        <w:numPr>
          <w:ilvl w:val="1"/>
          <w:numId w:val="1002"/>
        </w:numPr>
      </w:pPr>
      <w:r>
        <w:t xml:space="preserve">Goal: keep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exports,</w:t>
      </w:r>
      <w:r>
        <w:t xml:space="preserve"> </w:t>
      </w:r>
      <w:r>
        <w:rPr>
          <w:rStyle w:val="VerbatimChar"/>
        </w:rPr>
        <w:t xml:space="preserve">docs/SUBMISSION_BENCHMARK_2026-03-25.md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docs/PUBLICATION_STRATEGY_2026-03-22.md</w:t>
      </w:r>
      <w:r>
        <w:t xml:space="preserve">, and this roadmap aligned with the May 2026 low-data result.</w:t>
      </w:r>
    </w:p>
    <w:p>
      <w:pPr>
        <w:pStyle w:val="Compact"/>
        <w:numPr>
          <w:ilvl w:val="1"/>
          <w:numId w:val="1002"/>
        </w:numPr>
      </w:pPr>
      <w:r>
        <w:t xml:space="preserve">Platform: local</w:t>
      </w:r>
    </w:p>
    <w:p>
      <w:pPr>
        <w:pStyle w:val="Compact"/>
        <w:numPr>
          <w:ilvl w:val="1"/>
          <w:numId w:val="1002"/>
        </w:numPr>
      </w:pPr>
      <w:r>
        <w:t xml:space="preserve">Paper impact: high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V7 provenance labels stable</w:t>
      </w:r>
    </w:p>
    <w:p>
      <w:pPr>
        <w:pStyle w:val="Compact"/>
        <w:numPr>
          <w:ilvl w:val="1"/>
          <w:numId w:val="1003"/>
        </w:numPr>
      </w:pPr>
      <w:r>
        <w:t xml:space="preserve">Goal: preserve the distinction between the April 6 resumed V7 run, the April 27 clean non-resumed V7 run, and the older documented V7 row; do not spend compute on V7 folder hygiene.</w:t>
      </w:r>
    </w:p>
    <w:p>
      <w:pPr>
        <w:pStyle w:val="Compact"/>
        <w:numPr>
          <w:ilvl w:val="1"/>
          <w:numId w:val="1003"/>
        </w:numPr>
      </w:pPr>
      <w:r>
        <w:t xml:space="preserve">Platform: local</w:t>
      </w:r>
    </w:p>
    <w:p>
      <w:pPr>
        <w:pStyle w:val="Compact"/>
        <w:numPr>
          <w:ilvl w:val="1"/>
          <w:numId w:val="1003"/>
        </w:numPr>
      </w:pPr>
      <w:r>
        <w:t xml:space="preserve">Paper impact: high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Prepare the final advisor/submission packet</w:t>
      </w:r>
    </w:p>
    <w:p>
      <w:pPr>
        <w:pStyle w:val="Compact"/>
        <w:numPr>
          <w:ilvl w:val="1"/>
          <w:numId w:val="1004"/>
        </w:numPr>
      </w:pPr>
      <w:r>
        <w:t xml:space="preserve">Goal: package Markdown, Word, figures, benchmark tables, and experiment provenance so the project can be reviewed without stale historical framing.</w:t>
      </w:r>
    </w:p>
    <w:p>
      <w:pPr>
        <w:pStyle w:val="Compact"/>
        <w:numPr>
          <w:ilvl w:val="1"/>
          <w:numId w:val="1004"/>
        </w:numPr>
      </w:pPr>
      <w:r>
        <w:t xml:space="preserve">Platform: local</w:t>
      </w:r>
    </w:p>
    <w:p>
      <w:pPr>
        <w:pStyle w:val="Compact"/>
        <w:numPr>
          <w:ilvl w:val="1"/>
          <w:numId w:val="1004"/>
        </w:numPr>
      </w:pPr>
      <w:r>
        <w:t xml:space="preserve">Paper impact: high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Re-evaluate only paper-impactful empirical extensions</w:t>
      </w:r>
    </w:p>
    <w:p>
      <w:pPr>
        <w:pStyle w:val="Compact"/>
        <w:numPr>
          <w:ilvl w:val="1"/>
          <w:numId w:val="1005"/>
        </w:numPr>
      </w:pPr>
      <w:r>
        <w:t xml:space="preserve">Goal: consider second-dataset robustness, additional statistical intervals, or a narrowly scoped matched-budget control only if it materially changes reviewer resilience or venue fit.</w:t>
      </w:r>
    </w:p>
    <w:p>
      <w:pPr>
        <w:pStyle w:val="Compact"/>
        <w:numPr>
          <w:ilvl w:val="1"/>
          <w:numId w:val="1005"/>
        </w:numPr>
      </w:pPr>
      <w:r>
        <w:t xml:space="preserve">Platform: local planning first; Colab only if the extension requires it</w:t>
      </w:r>
    </w:p>
    <w:p>
      <w:pPr>
        <w:pStyle w:val="Compact"/>
        <w:numPr>
          <w:ilvl w:val="1"/>
          <w:numId w:val="1005"/>
        </w:numPr>
      </w:pPr>
      <w:r>
        <w:t xml:space="preserve">Paper impact: medium</w:t>
      </w:r>
    </w:p>
    <w:bookmarkEnd w:id="9"/>
    <w:bookmarkStart w:id="12" w:name="X50da0cdd6822ed7b07bb6a8786dff05d7c0f1f2"/>
    <w:p>
      <w:pPr>
        <w:pStyle w:val="Heading2"/>
      </w:pPr>
      <w:r>
        <w:t xml:space="preserve">2. Track A — Near-Term Publishable Route</w:t>
      </w:r>
    </w:p>
    <w:bookmarkStart w:id="10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Finish a credible Q2 / specialized-QML submission without implying unsupported quantum superiority.</w:t>
      </w:r>
    </w:p>
    <w:bookmarkEnd w:id="10"/>
    <w:bookmarkStart w:id="11" w:name="exact-task-order"/>
    <w:p>
      <w:pPr>
        <w:pStyle w:val="Heading3"/>
      </w:pPr>
      <w:r>
        <w:t xml:space="preserve">Exact Task Order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Submission-facing claim sync</w:t>
      </w:r>
    </w:p>
    <w:p>
      <w:pPr>
        <w:pStyle w:val="Compact"/>
        <w:numPr>
          <w:ilvl w:val="1"/>
          <w:numId w:val="1007"/>
        </w:numPr>
      </w:pPr>
      <w:r>
        <w:t xml:space="preserve">Platform: local</w:t>
      </w:r>
    </w:p>
    <w:p>
      <w:pPr>
        <w:pStyle w:val="Compact"/>
        <w:numPr>
          <w:ilvl w:val="1"/>
          <w:numId w:val="1007"/>
        </w:numPr>
      </w:pPr>
      <w:r>
        <w:t xml:space="preserve">Goal: keep the paper, benchmark summaries, publication strategy, roadmap, and shareable exports aligned with the full-data hierarchy and May 2026 low-data result</w:t>
      </w:r>
    </w:p>
    <w:p>
      <w:pPr>
        <w:pStyle w:val="Compact"/>
        <w:numPr>
          <w:ilvl w:val="1"/>
          <w:numId w:val="1007"/>
        </w:numPr>
      </w:pPr>
      <w:r>
        <w:t xml:space="preserve">Paper impact: high</w:t>
      </w:r>
    </w:p>
    <w:p>
      <w:pPr>
        <w:pStyle w:val="Compact"/>
        <w:numPr>
          <w:ilvl w:val="1"/>
          <w:numId w:val="1007"/>
        </w:numPr>
      </w:pPr>
      <w:r>
        <w:t xml:space="preserve">Stop condition: complete once the submission packet no longer describes low-data as future work and no longer implies a generic quantum advantage claim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Final paper polish</w:t>
      </w:r>
    </w:p>
    <w:p>
      <w:pPr>
        <w:pStyle w:val="Compact"/>
        <w:numPr>
          <w:ilvl w:val="1"/>
          <w:numId w:val="1008"/>
        </w:numPr>
      </w:pPr>
      <w:r>
        <w:t xml:space="preserve">Platform: local</w:t>
      </w:r>
    </w:p>
    <w:p>
      <w:pPr>
        <w:pStyle w:val="Compact"/>
        <w:numPr>
          <w:ilvl w:val="1"/>
          <w:numId w:val="1008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codex-paper-audit.sh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paper_writer</w:t>
      </w:r>
    </w:p>
    <w:p>
      <w:pPr>
        <w:pStyle w:val="Compact"/>
        <w:numPr>
          <w:ilvl w:val="1"/>
          <w:numId w:val="1008"/>
        </w:numPr>
      </w:pPr>
      <w:r>
        <w:t xml:space="preserve">Paper impact: high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Submission-facing document refresh</w:t>
      </w:r>
    </w:p>
    <w:p>
      <w:pPr>
        <w:pStyle w:val="Compact"/>
        <w:numPr>
          <w:ilvl w:val="1"/>
          <w:numId w:val="1009"/>
        </w:numPr>
      </w:pPr>
      <w:r>
        <w:t xml:space="preserve">Platform: local</w:t>
      </w:r>
    </w:p>
    <w:p>
      <w:pPr>
        <w:pStyle w:val="Compact"/>
        <w:numPr>
          <w:ilvl w:val="1"/>
          <w:numId w:val="1009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codex-artifact-pack.sh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export_docx.sh</w:t>
      </w:r>
    </w:p>
    <w:p>
      <w:pPr>
        <w:pStyle w:val="Compact"/>
        <w:numPr>
          <w:ilvl w:val="1"/>
          <w:numId w:val="1009"/>
        </w:numPr>
      </w:pPr>
      <w:r>
        <w:t xml:space="preserve">Paper impact: medium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Optional next empirical extension</w:t>
      </w:r>
    </w:p>
    <w:p>
      <w:pPr>
        <w:pStyle w:val="Compact"/>
        <w:numPr>
          <w:ilvl w:val="1"/>
          <w:numId w:val="1010"/>
        </w:numPr>
      </w:pPr>
      <w:r>
        <w:t xml:space="preserve">Candidate: second-dataset robustness, confidence intervals/significance tests, or one additional matched-budget control if it answers a concrete reviewer risk</w:t>
      </w:r>
    </w:p>
    <w:p>
      <w:pPr>
        <w:pStyle w:val="Compact"/>
        <w:numPr>
          <w:ilvl w:val="1"/>
          <w:numId w:val="1010"/>
        </w:numPr>
      </w:pPr>
      <w:r>
        <w:t xml:space="preserve">Platform: M4 first for cheap pilots; Colab is acceptable for a selected paper-impact experiment using surplus units</w:t>
      </w:r>
    </w:p>
    <w:p>
      <w:pPr>
        <w:pStyle w:val="Compact"/>
        <w:numPr>
          <w:ilvl w:val="1"/>
          <w:numId w:val="1010"/>
        </w:numPr>
      </w:pPr>
      <w:r>
        <w:t xml:space="preserve">Paper impact: medium to high</w:t>
      </w:r>
    </w:p>
    <w:p>
      <w:pPr>
        <w:pStyle w:val="Compact"/>
        <w:numPr>
          <w:ilvl w:val="1"/>
          <w:numId w:val="1010"/>
        </w:numPr>
      </w:pPr>
      <w:r>
        <w:t xml:space="preserve">Stop condition: skip if the reviewer-risk reduction does not justify the implementation cost or Colab spend</w:t>
      </w:r>
    </w:p>
    <w:bookmarkEnd w:id="11"/>
    <w:bookmarkEnd w:id="12"/>
    <w:bookmarkStart w:id="16" w:name="X44426c72bc1fa874d9d3db48c78e4ab3628c77f"/>
    <w:p>
      <w:pPr>
        <w:pStyle w:val="Heading2"/>
      </w:pPr>
      <w:r>
        <w:t xml:space="preserve">3. Track B — Stronger Research Route</w:t>
      </w:r>
    </w:p>
    <w:bookmarkStart w:id="13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Move from a fair benchmark paper toward a stronger methodology paper.</w:t>
      </w:r>
    </w:p>
    <w:bookmarkEnd w:id="13"/>
    <w:bookmarkStart w:id="14" w:name="exact-task-order-1"/>
    <w:p>
      <w:pPr>
        <w:pStyle w:val="Heading3"/>
      </w:pPr>
      <w:r>
        <w:t xml:space="preserve">Exact Task Order</w:t>
      </w:r>
    </w:p>
    <w:p>
      <w:pPr>
        <w:pStyle w:val="Compact"/>
        <w:numPr>
          <w:ilvl w:val="0"/>
          <w:numId w:val="1011"/>
        </w:numPr>
      </w:pPr>
      <w:r>
        <w:t xml:space="preserve">Keep the completed low-data axis scoped to the current-local model pair unless reviewers ask for a broader low-data grid</w:t>
      </w:r>
    </w:p>
    <w:p>
      <w:pPr>
        <w:pStyle w:val="Compact"/>
        <w:numPr>
          <w:ilvl w:val="0"/>
          <w:numId w:val="1011"/>
        </w:numPr>
      </w:pPr>
      <w:r>
        <w:t xml:space="preserve">Add confidence intervals or simple significance tests for the full-data and low-data tables if the venue expects stronger statistical reporting</w:t>
      </w:r>
    </w:p>
    <w:p>
      <w:pPr>
        <w:pStyle w:val="Compact"/>
        <w:numPr>
          <w:ilvl w:val="0"/>
          <w:numId w:val="1011"/>
        </w:numPr>
      </w:pPr>
      <w:r>
        <w:t xml:space="preserve">Add a second dataset or robustness split only if the goal shifts from a fair benchmark paper to a stronger methodology paper</w:t>
      </w:r>
    </w:p>
    <w:p>
      <w:pPr>
        <w:pStyle w:val="Compact"/>
        <w:numPr>
          <w:ilvl w:val="0"/>
          <w:numId w:val="1011"/>
        </w:numPr>
      </w:pPr>
      <w:r>
        <w:t xml:space="preserve">Only after those results exist, reassess whether any broader regime claim for quantum competitiveness is defendable</w:t>
      </w:r>
    </w:p>
    <w:bookmarkEnd w:id="14"/>
    <w:bookmarkStart w:id="15" w:name="completed-low-data-axis"/>
    <w:p>
      <w:pPr>
        <w:pStyle w:val="Heading3"/>
      </w:pPr>
      <w:r>
        <w:t xml:space="preserve">Completed Low-Data Axis</w:t>
      </w:r>
    </w:p>
    <w:p>
      <w:pPr>
        <w:pStyle w:val="FirstParagraph"/>
      </w:pPr>
      <w:r>
        <w:t xml:space="preserve">The completed current-local confirmation compared: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classical_conv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non_trainable_quantum</w:t>
      </w:r>
    </w:p>
    <w:p>
      <w:pPr>
        <w:pStyle w:val="FirstParagraph"/>
      </w:pPr>
      <w:r>
        <w:t xml:space="preserve">Fractions:</w:t>
      </w:r>
    </w:p>
    <w:p>
      <w:pPr>
        <w:pStyle w:val="Compact"/>
        <w:numPr>
          <w:ilvl w:val="0"/>
          <w:numId w:val="1013"/>
        </w:numPr>
      </w:pPr>
      <w:r>
        <w:t xml:space="preserve">10%</w:t>
      </w:r>
    </w:p>
    <w:p>
      <w:pPr>
        <w:pStyle w:val="Compact"/>
        <w:numPr>
          <w:ilvl w:val="0"/>
          <w:numId w:val="1013"/>
        </w:numPr>
      </w:pPr>
      <w:r>
        <w:t xml:space="preserve">25%</w:t>
      </w:r>
    </w:p>
    <w:p>
      <w:pPr>
        <w:pStyle w:val="Compact"/>
        <w:numPr>
          <w:ilvl w:val="0"/>
          <w:numId w:val="1013"/>
        </w:numPr>
      </w:pPr>
      <w:r>
        <w:t xml:space="preserve">50%</w:t>
      </w:r>
    </w:p>
    <w:p>
      <w:pPr>
        <w:pStyle w:val="Compact"/>
        <w:numPr>
          <w:ilvl w:val="0"/>
          <w:numId w:val="1013"/>
        </w:numPr>
      </w:pPr>
      <w:r>
        <w:t xml:space="preserve">100%</w:t>
      </w:r>
    </w:p>
    <w:p>
      <w:pPr>
        <w:pStyle w:val="FirstParagraph"/>
      </w:pPr>
      <w:r>
        <w:t xml:space="preserve">Result summary: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non_trainable_quantum</w:t>
      </w:r>
      <w:r>
        <w:t xml:space="preserve"> </w:t>
      </w:r>
      <w:r>
        <w:t xml:space="preserve">outperformed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at all measured fractions, with mean test accuracies of</w:t>
      </w:r>
      <w:r>
        <w:t xml:space="preserve"> </w:t>
      </w:r>
      <w:r>
        <w:rPr>
          <w:rStyle w:val="VerbatimChar"/>
        </w:rPr>
        <w:t xml:space="preserve">50.71%</w:t>
      </w:r>
      <w:r>
        <w:t xml:space="preserve">,</w:t>
      </w:r>
      <w:r>
        <w:t xml:space="preserve"> </w:t>
      </w:r>
      <w:r>
        <w:rPr>
          <w:rStyle w:val="VerbatimChar"/>
        </w:rPr>
        <w:t xml:space="preserve">69.88%</w:t>
      </w:r>
      <w:r>
        <w:t xml:space="preserve">,</w:t>
      </w:r>
      <w:r>
        <w:t xml:space="preserve"> </w:t>
      </w:r>
      <w:r>
        <w:rPr>
          <w:rStyle w:val="VerbatimChar"/>
        </w:rPr>
        <w:t xml:space="preserve">76.75%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80.76%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classical_conv</w:t>
      </w:r>
      <w:r>
        <w:t xml:space="preserve"> </w:t>
      </w:r>
      <w:r>
        <w:t xml:space="preserve">mean test accuracies were</w:t>
      </w:r>
      <w:r>
        <w:t xml:space="preserve"> </w:t>
      </w:r>
      <w:r>
        <w:rPr>
          <w:rStyle w:val="VerbatimChar"/>
        </w:rPr>
        <w:t xml:space="preserve">48.42%</w:t>
      </w:r>
      <w:r>
        <w:t xml:space="preserve">,</w:t>
      </w:r>
      <w:r>
        <w:t xml:space="preserve"> </w:t>
      </w:r>
      <w:r>
        <w:rPr>
          <w:rStyle w:val="VerbatimChar"/>
        </w:rPr>
        <w:t xml:space="preserve">66.24%</w:t>
      </w:r>
      <w:r>
        <w:t xml:space="preserve">,</w:t>
      </w:r>
      <w:r>
        <w:t xml:space="preserve"> </w:t>
      </w:r>
      <w:r>
        <w:rPr>
          <w:rStyle w:val="VerbatimChar"/>
        </w:rPr>
        <w:t xml:space="preserve">75.61%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80.47%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thesis-faithful low-data check remains a seed-42 pilot, where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 </w:t>
      </w:r>
      <w:r>
        <w:t xml:space="preserve">stayed ahead of</w:t>
      </w:r>
      <w:r>
        <w:t xml:space="preserve"> </w:t>
      </w:r>
      <w:r>
        <w:rPr>
          <w:rStyle w:val="VerbatimChar"/>
        </w:rPr>
        <w:t xml:space="preserve">thesis_hqnn2</w:t>
      </w:r>
      <w:r>
        <w:t xml:space="preserve">.</w:t>
      </w:r>
    </w:p>
    <w:p>
      <w:pPr>
        <w:pStyle w:val="FirstParagraph"/>
      </w:pPr>
      <w:r>
        <w:t xml:space="preserve">Execution rule going forward:</w:t>
      </w:r>
    </w:p>
    <w:p>
      <w:pPr>
        <w:pStyle w:val="Compact"/>
        <w:numPr>
          <w:ilvl w:val="0"/>
          <w:numId w:val="1015"/>
        </w:numPr>
      </w:pPr>
      <w:r>
        <w:t xml:space="preserve">do not expand low-data by default</w:t>
      </w:r>
    </w:p>
    <w:p>
      <w:pPr>
        <w:pStyle w:val="Compact"/>
        <w:numPr>
          <w:ilvl w:val="0"/>
          <w:numId w:val="1015"/>
        </w:numPr>
      </w:pPr>
      <w:r>
        <w:t xml:space="preserve">add extra low-data seeds only if a reviewer asks whether the thesis-faithful pair shows the same pattern</w:t>
      </w:r>
    </w:p>
    <w:p>
      <w:pPr>
        <w:pStyle w:val="Compact"/>
        <w:numPr>
          <w:ilvl w:val="0"/>
          <w:numId w:val="1015"/>
        </w:numPr>
      </w:pPr>
      <w:r>
        <w:t xml:space="preserve">prioritize submission clarity over new training</w:t>
      </w:r>
    </w:p>
    <w:bookmarkEnd w:id="15"/>
    <w:bookmarkEnd w:id="16"/>
    <w:bookmarkStart w:id="17" w:name="X9befe1f93ecabe8221fa28f9ab21320bd7dbf19"/>
    <w:p>
      <w:pPr>
        <w:pStyle w:val="Heading2"/>
      </w:pPr>
      <w:r>
        <w:t xml:space="preserve">4. Compute Policy</w:t>
      </w:r>
    </w:p>
    <w:p>
      <w:pPr>
        <w:pStyle w:val="Compact"/>
        <w:numPr>
          <w:ilvl w:val="0"/>
          <w:numId w:val="1016"/>
        </w:numPr>
      </w:pPr>
      <w:r>
        <w:t xml:space="preserve">Keep Mac work for M4-feasible benchmark and documentation tasks.</w:t>
      </w:r>
    </w:p>
    <w:p>
      <w:pPr>
        <w:pStyle w:val="Compact"/>
        <w:numPr>
          <w:ilvl w:val="0"/>
          <w:numId w:val="1016"/>
        </w:numPr>
      </w:pPr>
      <w:r>
        <w:t xml:space="preserve">The V7 confirmatory reruns are already complete; treat them as the last default Colab training spend unless new evidence justifies more.</w:t>
      </w:r>
    </w:p>
    <w:p>
      <w:pPr>
        <w:pStyle w:val="Compact"/>
        <w:numPr>
          <w:ilvl w:val="0"/>
          <w:numId w:val="1016"/>
        </w:numPr>
      </w:pPr>
      <w:r>
        <w:t xml:space="preserve">The last user-reported pre-low-data budget was approximately</w:t>
      </w:r>
      <w:r>
        <w:t xml:space="preserve"> </w:t>
      </w:r>
      <w:r>
        <w:rPr>
          <w:rStyle w:val="VerbatimChar"/>
        </w:rPr>
        <w:t xml:space="preserve">245</w:t>
      </w:r>
      <w:r>
        <w:t xml:space="preserve"> </w:t>
      </w:r>
      <w:r>
        <w:t xml:space="preserve">computing units; remeasure before any new Colab run.</w:t>
      </w:r>
    </w:p>
    <w:p>
      <w:pPr>
        <w:pStyle w:val="Compact"/>
        <w:numPr>
          <w:ilvl w:val="0"/>
          <w:numId w:val="1016"/>
        </w:numPr>
      </w:pPr>
      <w:r>
        <w:t xml:space="preserve">Do not spend additional Colab units on work already completed under the publication benchmark protocol, low-data confirmation, or V7 folder hygiene.</w:t>
      </w:r>
    </w:p>
    <w:p>
      <w:pPr>
        <w:pStyle w:val="Compact"/>
        <w:numPr>
          <w:ilvl w:val="0"/>
          <w:numId w:val="1016"/>
        </w:numPr>
      </w:pPr>
      <w:r>
        <w:t xml:space="preserve">Prefer zero-CU work for artifact sync, reconciliation, manuscript tightening, and submission package cleanup.</w:t>
      </w:r>
    </w:p>
    <w:p>
      <w:pPr>
        <w:pStyle w:val="Compact"/>
        <w:numPr>
          <w:ilvl w:val="0"/>
          <w:numId w:val="1016"/>
        </w:numPr>
      </w:pPr>
      <w:r>
        <w:t xml:space="preserve">A paper-impact Colab experiment is acceptable before renewal if it addresses reviewer risk better than local-only work.</w:t>
      </w:r>
    </w:p>
    <w:p>
      <w:pPr>
        <w:pStyle w:val="Compact"/>
        <w:numPr>
          <w:ilvl w:val="0"/>
          <w:numId w:val="1016"/>
        </w:numPr>
      </w:pPr>
      <w:r>
        <w:t xml:space="preserve">Delay broader extension work until the submission package is coherent and the exact question for extra compute is explicit.</w:t>
      </w:r>
    </w:p>
    <w:bookmarkEnd w:id="17"/>
    <w:bookmarkStart w:id="18" w:name="X430ef8130e9dabdbff8aea5a29e640c24107e5c"/>
    <w:p>
      <w:pPr>
        <w:pStyle w:val="Heading2"/>
      </w:pPr>
      <w:r>
        <w:t xml:space="preserve">5. Current Stop Conditions</w:t>
      </w:r>
    </w:p>
    <w:p>
      <w:pPr>
        <w:pStyle w:val="FirstParagraph"/>
      </w:pPr>
      <w:r>
        <w:t xml:space="preserve">Stop expanding the trainable-quantum branch if:</w:t>
      </w:r>
    </w:p>
    <w:p>
      <w:pPr>
        <w:pStyle w:val="Compact"/>
        <w:numPr>
          <w:ilvl w:val="0"/>
          <w:numId w:val="1017"/>
        </w:numPr>
      </w:pPr>
      <w:r>
        <w:t xml:space="preserve">the April 2026 V7 reruns remain clearly below the strongest classical anchors, and</w:t>
      </w:r>
    </w:p>
    <w:p>
      <w:pPr>
        <w:pStyle w:val="Compact"/>
        <w:numPr>
          <w:ilvl w:val="0"/>
          <w:numId w:val="1017"/>
        </w:numPr>
      </w:pPr>
      <w:r>
        <w:t xml:space="preserve">the paper contribution is already defensible as a benchmark + engineering paper without more V7 seeds</w:t>
      </w:r>
    </w:p>
    <w:p>
      <w:pPr>
        <w:pStyle w:val="Compact"/>
        <w:numPr>
          <w:ilvl w:val="0"/>
          <w:numId w:val="1017"/>
        </w:numPr>
      </w:pPr>
      <w:r>
        <w:t xml:space="preserve">or the expected information gain does not justify spending Colab units beyond the surplus likely to be lost at renewal</w:t>
      </w:r>
    </w:p>
    <w:p>
      <w:pPr>
        <w:pStyle w:val="FirstParagraph"/>
      </w:pPr>
      <w:r>
        <w:t xml:space="preserve">Stop expanding the publication benchmark if:</w:t>
      </w:r>
    </w:p>
    <w:p>
      <w:pPr>
        <w:pStyle w:val="Compact"/>
        <w:numPr>
          <w:ilvl w:val="0"/>
          <w:numId w:val="1018"/>
        </w:numPr>
      </w:pPr>
      <w:r>
        <w:t xml:space="preserve">the next added baseline does not materially change reviewer resilience, or</w:t>
      </w:r>
    </w:p>
    <w:p>
      <w:pPr>
        <w:pStyle w:val="Compact"/>
        <w:numPr>
          <w:ilvl w:val="0"/>
          <w:numId w:val="1018"/>
        </w:numPr>
      </w:pPr>
      <w:r>
        <w:t xml:space="preserve">the new result does not improve the paper narrative enough to justify the engineering time</w:t>
      </w:r>
    </w:p>
    <w:bookmarkEnd w:id="18"/>
    <w:bookmarkStart w:id="19" w:name="X1150687e403e4474f664b3e7af0f3977fc50063"/>
    <w:p>
      <w:pPr>
        <w:pStyle w:val="Heading2"/>
      </w:pPr>
      <w:r>
        <w:t xml:space="preserve">6. Current Default Conclusion</w:t>
      </w:r>
    </w:p>
    <w:p>
      <w:pPr>
        <w:pStyle w:val="FirstParagraph"/>
      </w:pPr>
      <w:r>
        <w:t xml:space="preserve">Until new evidence changes it, the repo should operate under this conclusion:</w:t>
      </w:r>
    </w:p>
    <w:p>
      <w:pPr>
        <w:pStyle w:val="Compact"/>
        <w:numPr>
          <w:ilvl w:val="0"/>
          <w:numId w:val="1019"/>
        </w:numPr>
      </w:pPr>
      <w:r>
        <w:t xml:space="preserve">strongest thesis-faithful evidence:</w:t>
      </w:r>
      <w:r>
        <w:t xml:space="preserve"> </w:t>
      </w:r>
      <w:r>
        <w:rPr>
          <w:rStyle w:val="VerbatimChar"/>
        </w:rPr>
        <w:t xml:space="preserve">thesis_cnniiii</w:t>
      </w:r>
    </w:p>
    <w:p>
      <w:pPr>
        <w:pStyle w:val="Compact"/>
        <w:numPr>
          <w:ilvl w:val="0"/>
          <w:numId w:val="1019"/>
        </w:numPr>
      </w:pPr>
      <w:r>
        <w:t xml:space="preserve">strongest current-local matched-budget evidence:</w:t>
      </w:r>
      <w:r>
        <w:t xml:space="preserve"> </w:t>
      </w:r>
      <w:r>
        <w:rPr>
          <w:rStyle w:val="VerbatimChar"/>
        </w:rPr>
        <w:t xml:space="preserve">classical_conv</w:t>
      </w:r>
    </w:p>
    <w:p>
      <w:pPr>
        <w:pStyle w:val="Compact"/>
        <w:numPr>
          <w:ilvl w:val="0"/>
          <w:numId w:val="1019"/>
        </w:numPr>
      </w:pPr>
      <w:r>
        <w:t xml:space="preserve">specific current-local low-data signal: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is competitive with and modestly ahead of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across the measured low-data fractions</w:t>
      </w:r>
    </w:p>
    <w:p>
      <w:pPr>
        <w:pStyle w:val="Compact"/>
        <w:numPr>
          <w:ilvl w:val="0"/>
          <w:numId w:val="1019"/>
        </w:numPr>
      </w:pPr>
      <w:r>
        <w:t xml:space="preserve">strongest modern classical upper bound:</w:t>
      </w:r>
      <w:r>
        <w:t xml:space="preserve"> </w:t>
      </w:r>
      <w:r>
        <w:rPr>
          <w:rStyle w:val="VerbatimChar"/>
        </w:rPr>
        <w:t xml:space="preserve">resnet18_cifar_gray</w:t>
      </w:r>
    </w:p>
    <w:p>
      <w:pPr>
        <w:pStyle w:val="Compact"/>
        <w:numPr>
          <w:ilvl w:val="0"/>
          <w:numId w:val="1019"/>
        </w:numPr>
      </w:pPr>
      <w:r>
        <w:t xml:space="preserve">strongest current trainable-quantum value: engineering insight, not benchmark leadership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2026-05-16T20:45:48Z</dcterms:created>
  <dcterms:modified xsi:type="dcterms:W3CDTF">2026-05-16T20:45:48Z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