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publication-strategy"/>
    <w:p>
      <w:pPr>
        <w:pStyle w:val="Heading1"/>
      </w:pPr>
      <w:r>
        <w:t xml:space="preserve">Publication Strategy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March 22, 2026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May 16, 2026</w:t>
      </w:r>
    </w:p>
    <w:p>
      <w:pPr>
        <w:pStyle w:val="BodyText"/>
      </w:pPr>
      <w:r>
        <w:t xml:space="preserve">This document records the realistic publication status of the study and the strategy required to turn it into a publishable paper.</w:t>
      </w:r>
    </w:p>
    <w:p>
      <w:pPr>
        <w:pStyle w:val="BodyText"/>
      </w:pPr>
      <w:r>
        <w:t xml:space="preserve">Operational benchmark tracking now lives alongside this strategy in: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docs/BENCHMARK_MATRIX_2026-03-22.md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docs/BENCHMARK_SUMMARY.md</w:t>
      </w:r>
    </w:p>
    <w:bookmarkStart w:id="9" w:name="X31893bf2cdcebb06e1144fa14e90ce0aa779857"/>
    <w:p>
      <w:pPr>
        <w:pStyle w:val="Heading2"/>
      </w:pPr>
      <w:r>
        <w:t xml:space="preserve">1. Short Verdict</w:t>
      </w:r>
    </w:p>
    <w:p>
      <w:pPr>
        <w:pStyle w:val="FirstParagraph"/>
      </w:pPr>
      <w:r>
        <w:t xml:space="preserve">As the repository stands today, this work is</w:t>
      </w:r>
      <w:r>
        <w:t xml:space="preserve"> </w:t>
      </w:r>
      <w:r>
        <w:rPr>
          <w:b/>
          <w:bCs/>
        </w:rPr>
        <w:t xml:space="preserve">not yet strong enough for a broad-scope Q1 AI or computer vision journal</w:t>
      </w:r>
      <w:r>
        <w:t xml:space="preserve">.</w:t>
      </w:r>
    </w:p>
    <w:p>
      <w:pPr>
        <w:pStyle w:val="BodyText"/>
      </w:pPr>
      <w:r>
        <w:t xml:space="preserve">It is still</w:t>
      </w:r>
      <w:r>
        <w:t xml:space="preserve"> </w:t>
      </w:r>
      <w:r>
        <w:rPr>
          <w:b/>
          <w:bCs/>
        </w:rPr>
        <w:t xml:space="preserve">worth publishing</w:t>
      </w:r>
      <w:r>
        <w:t xml:space="preserve">, and the current</w:t>
      </w:r>
      <w:r>
        <w:t xml:space="preserve"> </w:t>
      </w:r>
      <w:r>
        <w:rPr>
          <w:rStyle w:val="VerbatimChar"/>
        </w:rPr>
        <w:t xml:space="preserve">paper/draft.md</w:t>
      </w:r>
      <w:r>
        <w:t xml:space="preserve"> </w:t>
      </w:r>
      <w:r>
        <w:t xml:space="preserve">has now been refocused around benchmark discipline, negative-result honesty, a narrow low-data competitiveness signal, hybrid-QML engineering lessons, and thesis-to-reproducible-study evolution. The paper should not be positioned as an unsupported raw "quantum wins" story.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/>
          <w:bCs/>
        </w:rPr>
        <w:t xml:space="preserve">potentially publishable</w:t>
      </w:r>
      <w:r>
        <w:t xml:space="preserve"> </w:t>
      </w:r>
      <w:r>
        <w:t xml:space="preserve">in one of two ways:</w:t>
      </w:r>
    </w:p>
    <w:p>
      <w:pPr>
        <w:pStyle w:val="Compact"/>
        <w:numPr>
          <w:ilvl w:val="0"/>
          <w:numId w:val="1002"/>
        </w:numPr>
      </w:pPr>
      <w:r>
        <w:t xml:space="preserve">as a</w:t>
      </w:r>
      <w:r>
        <w:t xml:space="preserve"> </w:t>
      </w:r>
      <w:r>
        <w:rPr>
          <w:b/>
          <w:bCs/>
        </w:rPr>
        <w:t xml:space="preserve">specialized QML paper</w:t>
      </w:r>
      <w:r>
        <w:t xml:space="preserve"> </w:t>
      </w:r>
      <w:r>
        <w:t xml:space="preserve">centered on rigorous failure analysis, fair benchmarking, and engineering lessons for hybrid quantum-classical training, or</w:t>
      </w:r>
    </w:p>
    <w:p>
      <w:pPr>
        <w:pStyle w:val="Compact"/>
        <w:numPr>
          <w:ilvl w:val="0"/>
          <w:numId w:val="1002"/>
        </w:numPr>
      </w:pPr>
      <w:r>
        <w:t xml:space="preserve">as an</w:t>
      </w:r>
      <w:r>
        <w:t xml:space="preserve"> </w:t>
      </w:r>
      <w:r>
        <w:rPr>
          <w:b/>
          <w:bCs/>
        </w:rPr>
        <w:t xml:space="preserve">applied OCR / cultural-heritage computing paper</w:t>
      </w:r>
      <w:r>
        <w:t xml:space="preserve"> </w:t>
      </w:r>
      <w:r>
        <w:t xml:space="preserve">if the Ottoman character recognition contribution is strengthened and the quantum claim is made more modest and honest.</w:t>
      </w:r>
    </w:p>
    <w:p>
      <w:pPr>
        <w:pStyle w:val="FirstParagraph"/>
      </w:pPr>
      <w:r>
        <w:t xml:space="preserve">The current repository evidence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support a strong "quantum advantage" claim.</w:t>
      </w:r>
    </w:p>
    <w:bookmarkEnd w:id="9"/>
    <w:bookmarkStart w:id="15" w:name="Xb505b1c2a32c041ece610d2d193e9773be472f4"/>
    <w:p>
      <w:pPr>
        <w:pStyle w:val="Heading2"/>
      </w:pPr>
      <w:r>
        <w:t xml:space="preserve">2. Why The Current Paper Is Not Q1-Ready</w:t>
      </w:r>
    </w:p>
    <w:bookmarkStart w:id="10" w:name="Xa4f5e93ab8c83bb73ccaa7a636d5d620ed0e4e3"/>
    <w:p>
      <w:pPr>
        <w:pStyle w:val="Heading3"/>
      </w:pPr>
      <w:r>
        <w:t xml:space="preserve">2.1 The strongest current result is not quantum</w:t>
      </w:r>
    </w:p>
    <w:p>
      <w:pPr>
        <w:pStyle w:val="FirstParagraph"/>
      </w:pPr>
      <w:r>
        <w:t xml:space="preserve">Current repository evidence after the unified</w:t>
      </w:r>
      <w:r>
        <w:t xml:space="preserve"> </w:t>
      </w:r>
      <w:r>
        <w:rPr>
          <w:rStyle w:val="VerbatimChar"/>
        </w:rPr>
        <w:t xml:space="preserve">publication_v1</w:t>
      </w:r>
      <w:r>
        <w:t xml:space="preserve"> </w:t>
      </w:r>
      <w:r>
        <w:t xml:space="preserve">benchmark pass, the April 2026 Colab V7 reruns, and the May 2026 low-data confirmation: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Accuracy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resnet18_cifar_gray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88.13 ± 0.82</w:t>
            </w:r>
          </w:p>
        </w:tc>
        <w:tc>
          <w:tcPr/>
          <w:p>
            <w:pPr>
              <w:pStyle w:val="Compact"/>
            </w:pPr>
            <w:r>
              <w:t xml:space="preserve">stronger modern classical upper bound on the same fixed split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thesis_cnniiii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85.26 ± 0.97</w:t>
            </w:r>
          </w:p>
        </w:tc>
        <w:tc>
          <w:tcPr/>
          <w:p>
            <w:pPr>
              <w:pStyle w:val="Compact"/>
            </w:pPr>
            <w:r>
              <w:t xml:space="preserve">strongest thesis-faithful reproduction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classical_conv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81.40 ± 1.06</w:t>
            </w:r>
          </w:p>
        </w:tc>
        <w:tc>
          <w:tcPr/>
          <w:p>
            <w:pPr>
              <w:pStyle w:val="Compact"/>
            </w:pPr>
            <w:r>
              <w:t xml:space="preserve">strongest current-local matched-budget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param_linear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81.12 ± 2.27</w:t>
            </w:r>
          </w:p>
        </w:tc>
        <w:tc>
          <w:tcPr/>
          <w:p>
            <w:pPr>
              <w:pStyle w:val="Compact"/>
            </w:pPr>
            <w:r>
              <w:t xml:space="preserve">strong matched classical replacement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non_trainable_quantum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80.40 ± 0.69</w:t>
            </w:r>
          </w:p>
        </w:tc>
        <w:tc>
          <w:tcPr/>
          <w:p>
            <w:pPr>
              <w:pStyle w:val="Compact"/>
            </w:pPr>
            <w:r>
              <w:t xml:space="preserve">current-local Henderson-style non-trainable quantum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thesis_cnn3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79.33 ± 1.26</w:t>
            </w:r>
          </w:p>
        </w:tc>
        <w:tc>
          <w:tcPr/>
          <w:p>
            <w:pPr>
              <w:pStyle w:val="Compact"/>
            </w:pPr>
            <w:r>
              <w:t xml:space="preserve">thesis-faithful classical pairwise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thesis_hqnn2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78.61 ± 0.69</w:t>
            </w:r>
          </w:p>
        </w:tc>
        <w:tc>
          <w:tcPr/>
          <w:p>
            <w:pPr>
              <w:pStyle w:val="Compact"/>
            </w:pPr>
            <w:r>
              <w:t xml:space="preserve">best thesis-faithful quantum reproduction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V7 trainable quantum rerun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72.53%</w:t>
            </w:r>
          </w:p>
        </w:tc>
        <w:tc>
          <w:tcPr/>
          <w:p>
            <w:pPr>
              <w:pStyle w:val="Compact"/>
            </w:pPr>
            <w:r>
              <w:t xml:space="preserve">April 6 resumed Colab L4 rerun, still below strongest classical anchors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V7 trainable quantum clean rerun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65.88%</w:t>
            </w:r>
          </w:p>
        </w:tc>
        <w:tc>
          <w:tcPr/>
          <w:p>
            <w:pPr>
              <w:pStyle w:val="Compact"/>
            </w:pPr>
            <w:r>
              <w:t xml:space="preserve">April 27-28 clean non-resumed Colab L4 run reconstructed from captured notebook output after runtime disconnect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V7 trainable quantum (older documented)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65.02%</w:t>
            </w:r>
          </w:p>
        </w:tc>
        <w:tc>
          <w:tcPr/>
          <w:p>
            <w:pPr>
              <w:pStyle w:val="Compact"/>
            </w:pPr>
            <w:r>
              <w:t xml:space="preserve">historical documented stabilized result</w:t>
            </w:r>
          </w:p>
        </w:tc>
      </w:tr>
    </w:tbl>
    <w:p>
      <w:pPr>
        <w:pStyle w:val="BodyText"/>
      </w:pPr>
      <w:r>
        <w:t xml:space="preserve">This means the present paper cannot credibly argue that the trainable or non-trainable quantum path outperforms matched classical baselines.</w:t>
      </w:r>
    </w:p>
    <w:p>
      <w:pPr>
        <w:pStyle w:val="BodyText"/>
      </w:pPr>
      <w:r>
        <w:t xml:space="preserve">Low-data scaling adds a narrower qualification: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Low-data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current-local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non_trainable_quantum</w:t>
            </w:r>
            <w:r>
              <w:t xml:space="preserve"> </w:t>
            </w:r>
            <w:r>
              <w:t xml:space="preserve">exceeds</w:t>
            </w:r>
            <w:r>
              <w:t xml:space="preserve"> </w:t>
            </w:r>
            <w:r>
              <w:rPr>
                <w:rStyle w:val="VerbatimChar"/>
              </w:rPr>
              <w:t xml:space="preserve">classical_conv</w:t>
            </w:r>
            <w:r>
              <w:t xml:space="preserve"> </w:t>
            </w:r>
            <w:r>
              <w:t xml:space="preserve">on three-seed mean test accuracy at 10/25/50/100% train fractions</w:t>
            </w:r>
          </w:p>
        </w:tc>
        <w:tc>
          <w:tcPr/>
          <w:p>
            <w:pPr>
              <w:pStyle w:val="Compact"/>
            </w:pPr>
            <w:r>
              <w:t xml:space="preserve">specific competitiveness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thesis-faithful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thesis_cnniiii</w:t>
            </w:r>
            <w:r>
              <w:t xml:space="preserve"> </w:t>
            </w:r>
            <w:r>
              <w:t xml:space="preserve">remains ahead of</w:t>
            </w:r>
            <w:r>
              <w:t xml:space="preserve"> </w:t>
            </w:r>
            <w:r>
              <w:rPr>
                <w:rStyle w:val="VerbatimChar"/>
              </w:rPr>
              <w:t xml:space="preserve">thesis_hqnn2</w:t>
            </w:r>
            <w:r>
              <w:t xml:space="preserve"> </w:t>
            </w:r>
            <w:r>
              <w:t xml:space="preserve">in the seed-42 pilot at all train fractions</w:t>
            </w:r>
          </w:p>
        </w:tc>
        <w:tc>
          <w:tcPr/>
          <w:p>
            <w:pPr>
              <w:pStyle w:val="Compact"/>
            </w:pPr>
            <w:r>
              <w:t xml:space="preserve">classical-favored</w:t>
            </w:r>
          </w:p>
        </w:tc>
      </w:tr>
    </w:tbl>
    <w:bookmarkEnd w:id="10"/>
    <w:bookmarkStart w:id="11" w:name="Xe6b861faf664eb9d90e09ada12aa55f679a4a90"/>
    <w:p>
      <w:pPr>
        <w:pStyle w:val="Heading3"/>
      </w:pPr>
      <w:r>
        <w:t xml:space="preserve">2.2 Draft framing status</w:t>
      </w:r>
    </w:p>
    <w:p>
      <w:pPr>
        <w:pStyle w:val="FirstParagraph"/>
      </w:pPr>
      <w:r>
        <w:t xml:space="preserve">Earlier versions of the draft over-focused on V7 versus V4 and historical failures. The current</w:t>
      </w:r>
      <w:r>
        <w:t xml:space="preserve"> </w:t>
      </w:r>
      <w:r>
        <w:rPr>
          <w:rStyle w:val="VerbatimChar"/>
        </w:rPr>
        <w:t xml:space="preserve">paper/draft.md</w:t>
      </w:r>
      <w:r>
        <w:t xml:space="preserve"> </w:t>
      </w:r>
      <w:r>
        <w:t xml:space="preserve">has been refocused around RQ1/RQ2/RQ3: full-data benchmark hierarchy, low-data scaling, and trainable-quantum engineering constraints. The remaining writing risk is now submission polish and venue fit, not a stale V7-winner narrative.</w:t>
      </w:r>
    </w:p>
    <w:bookmarkEnd w:id="11"/>
    <w:bookmarkStart w:id="12" w:name="Xa1d5313cfb9fd3755caf906e1adab7450b51345"/>
    <w:p>
      <w:pPr>
        <w:pStyle w:val="Heading3"/>
      </w:pPr>
      <w:r>
        <w:t xml:space="preserve">2.3 The benchmark scope is too narrow for a broad Q1 claim</w:t>
      </w:r>
    </w:p>
    <w:p>
      <w:pPr>
        <w:pStyle w:val="FirstParagraph"/>
      </w:pPr>
      <w:r>
        <w:t xml:space="preserve">The study currently relies on a single small task:</w:t>
      </w:r>
    </w:p>
    <w:p>
      <w:pPr>
        <w:pStyle w:val="Compact"/>
        <w:numPr>
          <w:ilvl w:val="0"/>
          <w:numId w:val="1003"/>
        </w:numPr>
      </w:pPr>
      <w:r>
        <w:t xml:space="preserve">44-class Ottoman-Turkish handwritten character recognition</w:t>
      </w:r>
    </w:p>
    <w:p>
      <w:pPr>
        <w:pStyle w:val="Compact"/>
        <w:numPr>
          <w:ilvl w:val="0"/>
          <w:numId w:val="1003"/>
        </w:numPr>
      </w:pPr>
      <w:r>
        <w:t xml:space="preserve">3,894 total samples</w:t>
      </w:r>
    </w:p>
    <w:p>
      <w:pPr>
        <w:pStyle w:val="Compact"/>
        <w:numPr>
          <w:ilvl w:val="0"/>
          <w:numId w:val="1003"/>
        </w:numPr>
      </w:pPr>
      <w:r>
        <w:t xml:space="preserve">one main dataset split</w:t>
      </w:r>
    </w:p>
    <w:p>
      <w:pPr>
        <w:pStyle w:val="FirstParagraph"/>
      </w:pPr>
      <w:r>
        <w:t xml:space="preserve">That is interesting and publishable in a niche or domain-aware venue, but it is not enough by itself for a strong general claim about quanvolutional models.</w:t>
      </w:r>
    </w:p>
    <w:bookmarkEnd w:id="12"/>
    <w:bookmarkStart w:id="13" w:name="Xe15578223bfe11a3255afdc5abb9c632af20080"/>
    <w:p>
      <w:pPr>
        <w:pStyle w:val="Heading3"/>
      </w:pPr>
      <w:r>
        <w:t xml:space="preserve">2.4 Statistical rigor is still below top-tier expectations</w:t>
      </w:r>
    </w:p>
    <w:p>
      <w:pPr>
        <w:pStyle w:val="FirstParagraph"/>
      </w:pPr>
      <w:r>
        <w:t xml:space="preserve">Still missing or incomplete elements include:</w:t>
      </w:r>
    </w:p>
    <w:p>
      <w:pPr>
        <w:pStyle w:val="Compact"/>
        <w:numPr>
          <w:ilvl w:val="0"/>
          <w:numId w:val="1004"/>
        </w:numPr>
      </w:pPr>
      <w:r>
        <w:t xml:space="preserve">confidence intervals or significance tests</w:t>
      </w:r>
    </w:p>
    <w:p>
      <w:pPr>
        <w:pStyle w:val="Compact"/>
        <w:numPr>
          <w:ilvl w:val="0"/>
          <w:numId w:val="1004"/>
        </w:numPr>
      </w:pPr>
      <w:r>
        <w:t xml:space="preserve">a clearly defined evaluation framework for any "practical quantum advantage" claim</w:t>
      </w:r>
    </w:p>
    <w:p>
      <w:pPr>
        <w:pStyle w:val="Compact"/>
        <w:numPr>
          <w:ilvl w:val="0"/>
          <w:numId w:val="1004"/>
        </w:numPr>
      </w:pPr>
      <w:r>
        <w:t xml:space="preserve">directly copied Colab JSON/experiment metadata for the April 2026 V7 reruns; the repository has reconstructed JSON rows and Drive-backed checkpoints, but the April 27 Drive</w:t>
      </w:r>
      <w:r>
        <w:t xml:space="preserve"> </w:t>
      </w:r>
      <w:r>
        <w:rPr>
          <w:rStyle w:val="VerbatimChar"/>
        </w:rPr>
        <w:t xml:space="preserve">experiments/</w:t>
      </w:r>
      <w:r>
        <w:t xml:space="preserve"> </w:t>
      </w:r>
      <w:r>
        <w:t xml:space="preserve">subfolder is empty</w:t>
      </w:r>
    </w:p>
    <w:p>
      <w:pPr>
        <w:pStyle w:val="Compact"/>
        <w:numPr>
          <w:ilvl w:val="0"/>
          <w:numId w:val="1004"/>
        </w:numPr>
      </w:pPr>
      <w:r>
        <w:t xml:space="preserve">a second dataset or robustness axis; the May 2026 low-data scaling axis is now confirmed for the current-local pair and remains thesis-faithful seed-42-only</w:t>
      </w:r>
    </w:p>
    <w:bookmarkEnd w:id="13"/>
    <w:bookmarkStart w:id="14" w:name="Xeb7e0c15552cea8e027dc17ea4c46533f6a8d74"/>
    <w:p>
      <w:pPr>
        <w:pStyle w:val="Heading3"/>
      </w:pPr>
      <w:r>
        <w:t xml:space="preserve">2.5 There is no hardware or computational advantage argument yet</w:t>
      </w:r>
    </w:p>
    <w:p>
      <w:pPr>
        <w:pStyle w:val="FirstParagraph"/>
      </w:pPr>
      <w:r>
        <w:t xml:space="preserve">The experiments are simulator-centric. That is acceptable for research, but it weakens any claim that the quantum component is practically useful unless the paper demonstrates one of the following:</w:t>
      </w:r>
    </w:p>
    <w:p>
      <w:pPr>
        <w:pStyle w:val="Compact"/>
        <w:numPr>
          <w:ilvl w:val="0"/>
          <w:numId w:val="1005"/>
        </w:numPr>
      </w:pPr>
      <w:r>
        <w:t xml:space="preserve">better accuracy in a well-defined regime</w:t>
      </w:r>
    </w:p>
    <w:p>
      <w:pPr>
        <w:pStyle w:val="Compact"/>
        <w:numPr>
          <w:ilvl w:val="0"/>
          <w:numId w:val="1005"/>
        </w:numPr>
      </w:pPr>
      <w:r>
        <w:t xml:space="preserve">better parameter efficiency</w:t>
      </w:r>
    </w:p>
    <w:p>
      <w:pPr>
        <w:pStyle w:val="Compact"/>
        <w:numPr>
          <w:ilvl w:val="0"/>
          <w:numId w:val="1005"/>
        </w:numPr>
      </w:pPr>
      <w:r>
        <w:t xml:space="preserve">better low-data behavior beyond the narrow May 2026 current-local signal</w:t>
      </w:r>
    </w:p>
    <w:p>
      <w:pPr>
        <w:pStyle w:val="Compact"/>
        <w:numPr>
          <w:ilvl w:val="0"/>
          <w:numId w:val="1005"/>
        </w:numPr>
      </w:pPr>
      <w:r>
        <w:t xml:space="preserve">better robustness</w:t>
      </w:r>
    </w:p>
    <w:p>
      <w:pPr>
        <w:pStyle w:val="Compact"/>
        <w:numPr>
          <w:ilvl w:val="0"/>
          <w:numId w:val="1005"/>
        </w:numPr>
      </w:pPr>
      <w:r>
        <w:t xml:space="preserve">a concrete resource tradeoff that remains favorable</w:t>
      </w:r>
    </w:p>
    <w:p>
      <w:pPr>
        <w:pStyle w:val="FirstParagraph"/>
      </w:pPr>
      <w:r>
        <w:t xml:space="preserve">At the moment, only a narrow current-local low-data competitiveness signal is established. A broad practical-usefulness or hardware-advantage case is not established.</w:t>
      </w:r>
    </w:p>
    <w:bookmarkEnd w:id="14"/>
    <w:bookmarkEnd w:id="15"/>
    <w:bookmarkStart w:id="18" w:name="X968d00c85b247f0500bb1d3d6cf6365ff39e368"/>
    <w:p>
      <w:pPr>
        <w:pStyle w:val="Heading2"/>
      </w:pPr>
      <w:r>
        <w:t xml:space="preserve">3. What Could Still Be Publishable</w:t>
      </w:r>
    </w:p>
    <w:bookmarkStart w:id="16" w:name="route-a-qml-insight-paper"/>
    <w:p>
      <w:pPr>
        <w:pStyle w:val="Heading3"/>
      </w:pPr>
      <w:r>
        <w:t xml:space="preserve">Route A: QML Insight Paper</w:t>
      </w:r>
    </w:p>
    <w:p>
      <w:pPr>
        <w:pStyle w:val="FirstParagraph"/>
      </w:pPr>
      <w:r>
        <w:t xml:space="preserve">This is the strongest scientific route if the paper is reframed honestly.</w:t>
      </w:r>
    </w:p>
    <w:p>
      <w:pPr>
        <w:pStyle w:val="BodyText"/>
      </w:pPr>
      <w:r>
        <w:t xml:space="preserve">Core angle:</w:t>
      </w:r>
    </w:p>
    <w:p>
      <w:pPr>
        <w:pStyle w:val="Compact"/>
        <w:numPr>
          <w:ilvl w:val="0"/>
          <w:numId w:val="1006"/>
        </w:numPr>
      </w:pPr>
      <w:r>
        <w:t xml:space="preserve">hybrid QML failure analysis on a real 44-class task</w:t>
      </w:r>
    </w:p>
    <w:p>
      <w:pPr>
        <w:pStyle w:val="Compact"/>
        <w:numPr>
          <w:ilvl w:val="0"/>
          <w:numId w:val="1006"/>
        </w:numPr>
      </w:pPr>
      <w:r>
        <w:t xml:space="preserve">fair classical-vs-quantum benchmarking</w:t>
      </w:r>
    </w:p>
    <w:p>
      <w:pPr>
        <w:pStyle w:val="Compact"/>
        <w:numPr>
          <w:ilvl w:val="0"/>
          <w:numId w:val="1006"/>
        </w:numPr>
      </w:pPr>
      <w:r>
        <w:t xml:space="preserve">documented engineering lessons:</w:t>
      </w:r>
    </w:p>
    <w:p>
      <w:pPr>
        <w:pStyle w:val="Compact"/>
        <w:numPr>
          <w:ilvl w:val="1"/>
          <w:numId w:val="1007"/>
        </w:numPr>
      </w:pPr>
      <w:r>
        <w:t xml:space="preserve">information bottleneck threshold</w:t>
      </w:r>
    </w:p>
    <w:p>
      <w:pPr>
        <w:pStyle w:val="Compact"/>
        <w:numPr>
          <w:ilvl w:val="1"/>
          <w:numId w:val="1007"/>
        </w:numPr>
      </w:pPr>
      <w:r>
        <w:t xml:space="preserve">gradient collapse</w:t>
      </w:r>
    </w:p>
    <w:p>
      <w:pPr>
        <w:pStyle w:val="Compact"/>
        <w:numPr>
          <w:ilvl w:val="1"/>
          <w:numId w:val="1007"/>
        </w:numPr>
      </w:pPr>
      <w:r>
        <w:t xml:space="preserve">AMP / float16 incompatibility at the quantum boundary</w:t>
      </w:r>
    </w:p>
    <w:p>
      <w:pPr>
        <w:pStyle w:val="Compact"/>
        <w:numPr>
          <w:ilvl w:val="1"/>
          <w:numId w:val="1007"/>
        </w:numPr>
      </w:pPr>
      <w:r>
        <w:t xml:space="preserve">trainable vs non-trainable vs matched classical replacements</w:t>
      </w:r>
    </w:p>
    <w:p>
      <w:pPr>
        <w:pStyle w:val="FirstParagraph"/>
      </w:pPr>
      <w:r>
        <w:t xml:space="preserve">This route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 proving quantum superiority. It requires proving that the study contributes trustworthy evidence and useful design rules for QML practitioners.</w:t>
      </w:r>
    </w:p>
    <w:bookmarkEnd w:id="16"/>
    <w:bookmarkStart w:id="17" w:name="X1a64850b8daa57c512fb4d4bbeaf5ef879a9bb4"/>
    <w:p>
      <w:pPr>
        <w:pStyle w:val="Heading3"/>
      </w:pPr>
      <w:r>
        <w:t xml:space="preserve">Route B: Applied OCR / Cultural Heritage Paper</w:t>
      </w:r>
    </w:p>
    <w:p>
      <w:pPr>
        <w:pStyle w:val="FirstParagraph"/>
      </w:pPr>
      <w:r>
        <w:t xml:space="preserve">This route is more application-driven.</w:t>
      </w:r>
    </w:p>
    <w:p>
      <w:pPr>
        <w:pStyle w:val="BodyText"/>
      </w:pPr>
      <w:r>
        <w:t xml:space="preserve">Core angle:</w:t>
      </w:r>
    </w:p>
    <w:p>
      <w:pPr>
        <w:pStyle w:val="Compact"/>
        <w:numPr>
          <w:ilvl w:val="0"/>
          <w:numId w:val="1008"/>
        </w:numPr>
      </w:pPr>
      <w:r>
        <w:t xml:space="preserve">Ottoman handwritten character recognition benchmark</w:t>
      </w:r>
    </w:p>
    <w:p>
      <w:pPr>
        <w:pStyle w:val="Compact"/>
        <w:numPr>
          <w:ilvl w:val="0"/>
          <w:numId w:val="1008"/>
        </w:numPr>
      </w:pPr>
      <w:r>
        <w:t xml:space="preserve">thesis-to-research evolution with stronger baselines and reproducible experiments</w:t>
      </w:r>
    </w:p>
    <w:p>
      <w:pPr>
        <w:pStyle w:val="Compact"/>
        <w:numPr>
          <w:ilvl w:val="0"/>
          <w:numId w:val="1008"/>
        </w:numPr>
      </w:pPr>
      <w:r>
        <w:t xml:space="preserve">quantum methods as a tested hypothesis rather than a guaranteed improvement</w:t>
      </w:r>
    </w:p>
    <w:p>
      <w:pPr>
        <w:pStyle w:val="FirstParagraph"/>
      </w:pPr>
      <w:r>
        <w:t xml:space="preserve">For this route to work, the paper must emphasize:</w:t>
      </w:r>
    </w:p>
    <w:p>
      <w:pPr>
        <w:pStyle w:val="Compact"/>
        <w:numPr>
          <w:ilvl w:val="0"/>
          <w:numId w:val="1009"/>
        </w:numPr>
      </w:pPr>
      <w:r>
        <w:t xml:space="preserve">the OCR task and dataset value</w:t>
      </w:r>
    </w:p>
    <w:p>
      <w:pPr>
        <w:pStyle w:val="Compact"/>
        <w:numPr>
          <w:ilvl w:val="0"/>
          <w:numId w:val="1009"/>
        </w:numPr>
      </w:pPr>
      <w:r>
        <w:t xml:space="preserve">the benchmark contribution</w:t>
      </w:r>
    </w:p>
    <w:p>
      <w:pPr>
        <w:pStyle w:val="Compact"/>
        <w:numPr>
          <w:ilvl w:val="0"/>
          <w:numId w:val="1009"/>
        </w:numPr>
      </w:pPr>
      <w:r>
        <w:t xml:space="preserve">what quantum methods do and do not help with</w:t>
      </w:r>
    </w:p>
    <w:bookmarkEnd w:id="17"/>
    <w:bookmarkEnd w:id="18"/>
    <w:bookmarkStart w:id="23" w:name="X12e3aaeb9859513e4a7c476401ca673697ad6ef"/>
    <w:p>
      <w:pPr>
        <w:pStyle w:val="Heading2"/>
      </w:pPr>
      <w:r>
        <w:t xml:space="preserve">4. Realistic Venue Logic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treat venue choice as fixed before the evidence is fixed.</w:t>
      </w:r>
    </w:p>
    <w:bookmarkStart w:id="19" w:name="broad-q1-ai--ml-application-journals"/>
    <w:p>
      <w:pPr>
        <w:pStyle w:val="Heading3"/>
      </w:pPr>
      <w:r>
        <w:t xml:space="preserve">Broad Q1 AI / ML application journals</w:t>
      </w:r>
    </w:p>
    <w:p>
      <w:pPr>
        <w:pStyle w:val="FirstParagraph"/>
      </w:pPr>
      <w:r>
        <w:t xml:space="preserve">These typically expect strong novelty, convincing benchmarking, and clear practical value. For example:</w:t>
      </w:r>
    </w:p>
    <w:p>
      <w:pPr>
        <w:pStyle w:val="Compact"/>
        <w:numPr>
          <w:ilvl w:val="0"/>
          <w:numId w:val="1010"/>
        </w:numPr>
      </w:pPr>
      <w:r>
        <w:t xml:space="preserve">Expert Systems with Applications emphasizes original papers on the design, development, testing, implementation, and management of intelligent systems, and explicitly discourages superficial novelty claims or renaming existing ideas.</w:t>
      </w:r>
    </w:p>
    <w:p>
      <w:pPr>
        <w:pStyle w:val="Compact"/>
        <w:numPr>
          <w:ilvl w:val="0"/>
          <w:numId w:val="1010"/>
        </w:numPr>
      </w:pPr>
      <w:r>
        <w:t xml:space="preserve">Machine Learning with Applications emphasizes novelty, technical soundness, practical value, and effectiveness for important problems.</w:t>
      </w:r>
    </w:p>
    <w:p>
      <w:pPr>
        <w:pStyle w:val="FirstParagraph"/>
      </w:pPr>
      <w:r>
        <w:t xml:space="preserve">For this study, a broad Q1 application venue becomes realistic only if the benchmark and evaluation package are substantially strengthened.</w:t>
      </w:r>
    </w:p>
    <w:bookmarkEnd w:id="19"/>
    <w:bookmarkStart w:id="20" w:name="specialized-qml-venues"/>
    <w:p>
      <w:pPr>
        <w:pStyle w:val="Heading3"/>
      </w:pPr>
      <w:r>
        <w:t xml:space="preserve">Specialized QML venues</w:t>
      </w:r>
    </w:p>
    <w:p>
      <w:pPr>
        <w:pStyle w:val="FirstParagraph"/>
      </w:pPr>
      <w:r>
        <w:t xml:space="preserve">A specialized QML venue may be more realistic if the paper is reframed around trustworthy evidence rather than raw accuracy claims.</w:t>
      </w:r>
    </w:p>
    <w:p>
      <w:pPr>
        <w:pStyle w:val="BodyText"/>
      </w:pPr>
      <w:r>
        <w:t xml:space="preserve">Notably, Quantum Machine Intelligence has published work that explicitly states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making strong performance claims against classical ML and instead argues for limited, well-defined investigations that provide useful qualitative insights. That is much closer to the current strength of this repository.</w:t>
      </w:r>
    </w:p>
    <w:bookmarkEnd w:id="20"/>
    <w:bookmarkStart w:id="21" w:name="cultural-heritage-computing-venues"/>
    <w:p>
      <w:pPr>
        <w:pStyle w:val="Heading3"/>
      </w:pPr>
      <w:r>
        <w:t xml:space="preserve">Cultural heritage computing venues</w:t>
      </w:r>
    </w:p>
    <w:p>
      <w:pPr>
        <w:pStyle w:val="FirstParagraph"/>
      </w:pPr>
      <w:r>
        <w:t xml:space="preserve">The cultural-heritage route is plausible if the contribution is framed as ICT for heritage study and preservation rather than as a frontier-QML victory claim. ACM's Journal on Computing and Cultural Heritage describes its scope broadly as ICT in support of cultural heritage management, presentation, and study.</w:t>
      </w:r>
    </w:p>
    <w:bookmarkEnd w:id="21"/>
    <w:bookmarkStart w:id="22" w:name="quartile-caution"/>
    <w:p>
      <w:pPr>
        <w:pStyle w:val="Heading3"/>
      </w:pPr>
      <w:r>
        <w:t xml:space="preserve">Quartile caution</w:t>
      </w:r>
    </w:p>
    <w:p>
      <w:pPr>
        <w:pStyle w:val="FirstParagraph"/>
      </w:pPr>
      <w:r>
        <w:t xml:space="preserve">Journal quartiles can vary by indexing service and subject category. Re-check Scopus / SCImago / JCR status immediately before submission.</w:t>
      </w:r>
    </w:p>
    <w:bookmarkEnd w:id="22"/>
    <w:bookmarkEnd w:id="23"/>
    <w:bookmarkStart w:id="26" w:name="X7c91deee1814a2ffde395046e3be2305685d31d"/>
    <w:p>
      <w:pPr>
        <w:pStyle w:val="Heading2"/>
      </w:pPr>
      <w:r>
        <w:t xml:space="preserve">5. Recommended Publication Target By Current Evidence</w:t>
      </w:r>
    </w:p>
    <w:bookmarkStart w:id="24" w:name="X74382e48d506fda852fc8c02476223b87682dab"/>
    <w:p>
      <w:pPr>
        <w:pStyle w:val="Heading3"/>
      </w:pPr>
      <w:r>
        <w:t xml:space="preserve">Current best target: Q2 or specialized QML route</w:t>
      </w:r>
    </w:p>
    <w:p>
      <w:pPr>
        <w:pStyle w:val="FirstParagraph"/>
      </w:pPr>
      <w:r>
        <w:t xml:space="preserve">If we submit soon with only moderate additional work, the most realistic route is:</w:t>
      </w:r>
    </w:p>
    <w:p>
      <w:pPr>
        <w:pStyle w:val="Compact"/>
        <w:numPr>
          <w:ilvl w:val="0"/>
          <w:numId w:val="1011"/>
        </w:numPr>
      </w:pPr>
      <w:r>
        <w:t xml:space="preserve">a specialized QML journal or</w:t>
      </w:r>
    </w:p>
    <w:p>
      <w:pPr>
        <w:pStyle w:val="Compact"/>
        <w:numPr>
          <w:ilvl w:val="0"/>
          <w:numId w:val="1011"/>
        </w:numPr>
      </w:pPr>
      <w:r>
        <w:t xml:space="preserve">an applied ML / cultural-heritage venue where the main value is the benchmark and the honest comparison</w:t>
      </w:r>
    </w:p>
    <w:bookmarkEnd w:id="24"/>
    <w:bookmarkStart w:id="25" w:name="possible-q1-route"/>
    <w:p>
      <w:pPr>
        <w:pStyle w:val="Heading3"/>
      </w:pPr>
      <w:r>
        <w:t xml:space="preserve">Possible Q1 route</w:t>
      </w:r>
    </w:p>
    <w:p>
      <w:pPr>
        <w:pStyle w:val="FirstParagraph"/>
      </w:pPr>
      <w:r>
        <w:t xml:space="preserve">A Q1 route is still possible, but only after the paper changes from:</w:t>
      </w:r>
    </w:p>
    <w:p>
      <w:pPr>
        <w:pStyle w:val="Compact"/>
        <w:numPr>
          <w:ilvl w:val="0"/>
          <w:numId w:val="1012"/>
        </w:numPr>
      </w:pPr>
      <w:r>
        <w:t xml:space="preserve">"we built a quantum OCR model"</w:t>
      </w:r>
    </w:p>
    <w:p>
      <w:pPr>
        <w:pStyle w:val="FirstParagraph"/>
      </w:pPr>
      <w:r>
        <w:t xml:space="preserve">to:</w:t>
      </w:r>
    </w:p>
    <w:p>
      <w:pPr>
        <w:pStyle w:val="Compact"/>
        <w:numPr>
          <w:ilvl w:val="0"/>
          <w:numId w:val="1013"/>
        </w:numPr>
      </w:pPr>
      <w:r>
        <w:t xml:space="preserve">"we provide a rigorous and reproducible benchmark of trainable and non-trainable quanvolution on a difficult 44-class handwriting problem, identify when and why the quantum component fails, and define the narrow regimes where it remains competitive or useful"</w:t>
      </w:r>
    </w:p>
    <w:p>
      <w:pPr>
        <w:pStyle w:val="FirstParagraph"/>
      </w:pPr>
      <w:r>
        <w:t xml:space="preserve">That requires more evidence than is currently present.</w:t>
      </w:r>
    </w:p>
    <w:bookmarkEnd w:id="25"/>
    <w:bookmarkEnd w:id="26"/>
    <w:bookmarkStart w:id="33" w:name="X9b24150018df4c60c5c9bfb036c1d156f867858"/>
    <w:p>
      <w:pPr>
        <w:pStyle w:val="Heading2"/>
      </w:pPr>
      <w:r>
        <w:t xml:space="preserve">6. Concrete Gap List Before Submission</w:t>
      </w:r>
    </w:p>
    <w:p>
      <w:pPr>
        <w:pStyle w:val="FirstParagraph"/>
      </w:pPr>
      <w:r>
        <w:t xml:space="preserve">The following are the highest-priority remaining pieces.</w:t>
      </w:r>
    </w:p>
    <w:bookmarkStart w:id="27" w:name="X70f77c8a2b270ae236bcf8c412cd81ee592c49e"/>
    <w:p>
      <w:pPr>
        <w:pStyle w:val="Heading3"/>
      </w:pPr>
      <w:r>
        <w:t xml:space="preserve">6.1 Synchronize the scientific claim</w:t>
      </w:r>
    </w:p>
    <w:p>
      <w:pPr>
        <w:pStyle w:val="FirstParagraph"/>
      </w:pPr>
      <w:r>
        <w:t xml:space="preserve">The paper, README, thesis comparisons, and experiment logs should continue to reflect the same current truth:</w:t>
      </w:r>
    </w:p>
    <w:p>
      <w:pPr>
        <w:pStyle w:val="Compact"/>
        <w:numPr>
          <w:ilvl w:val="0"/>
          <w:numId w:val="1014"/>
        </w:numPr>
      </w:pPr>
      <w:r>
        <w:t xml:space="preserve">the strongest thesis-faithful reproduced model is classical (</w:t>
      </w:r>
      <w:r>
        <w:rPr>
          <w:rStyle w:val="VerbatimChar"/>
        </w:rPr>
        <w:t xml:space="preserve">thesis_cnniiii = 85.26 ± 0.97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the strongest current-local matched-budget model is classical (</w:t>
      </w:r>
      <w:r>
        <w:rPr>
          <w:rStyle w:val="VerbatimChar"/>
        </w:rPr>
        <w:t xml:space="preserve">classical_conv = 81.40 ± 1.06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current-local Henderson-style non-trainable quantum is</w:t>
      </w:r>
      <w:r>
        <w:t xml:space="preserve"> </w:t>
      </w:r>
      <w:r>
        <w:rPr>
          <w:rStyle w:val="VerbatimChar"/>
        </w:rPr>
        <w:t xml:space="preserve">80.40 ± 0.69</w:t>
      </w:r>
    </w:p>
    <w:p>
      <w:pPr>
        <w:pStyle w:val="Compact"/>
        <w:numPr>
          <w:ilvl w:val="0"/>
          <w:numId w:val="1014"/>
        </w:numPr>
      </w:pPr>
      <w:r>
        <w:t xml:space="preserve">thesis-faithful HQNN-II reproduction is</w:t>
      </w:r>
      <w:r>
        <w:t xml:space="preserve"> </w:t>
      </w:r>
      <w:r>
        <w:rPr>
          <w:rStyle w:val="VerbatimChar"/>
        </w:rPr>
        <w:t xml:space="preserve">78.61 ± 0.69</w:t>
      </w:r>
    </w:p>
    <w:p>
      <w:pPr>
        <w:pStyle w:val="Compact"/>
        <w:numPr>
          <w:ilvl w:val="0"/>
          <w:numId w:val="1014"/>
        </w:numPr>
      </w:pPr>
      <w:r>
        <w:t xml:space="preserve">V7 trainable quantum is not the best current model</w:t>
      </w:r>
    </w:p>
    <w:p>
      <w:pPr>
        <w:pStyle w:val="Compact"/>
        <w:numPr>
          <w:ilvl w:val="0"/>
          <w:numId w:val="1014"/>
        </w:numPr>
      </w:pPr>
      <w:r>
        <w:t xml:space="preserve">current-local low-data confirmation supports a specific</w:t>
      </w:r>
      <w:r>
        <w:t xml:space="preserve"> </w:t>
      </w:r>
      <w:r>
        <w:rPr>
          <w:rStyle w:val="VerbatimChar"/>
        </w:rPr>
        <w:t xml:space="preserve">non_trainable_quantum</w:t>
      </w:r>
      <w:r>
        <w:t xml:space="preserve"> </w:t>
      </w:r>
      <w:r>
        <w:t xml:space="preserve">competitiveness signal against</w:t>
      </w:r>
      <w:r>
        <w:t xml:space="preserve"> </w:t>
      </w:r>
      <w:r>
        <w:rPr>
          <w:rStyle w:val="VerbatimChar"/>
        </w:rPr>
        <w:t xml:space="preserve">classical_conv</w:t>
      </w:r>
      <w:r>
        <w:t xml:space="preserve">, not a generic quantum-advantage claim</w:t>
      </w:r>
    </w:p>
    <w:bookmarkEnd w:id="27"/>
    <w:bookmarkStart w:id="28" w:name="X4c2003aa78e5bbc0ac71a8d1d7404273925e24e"/>
    <w:p>
      <w:pPr>
        <w:pStyle w:val="Heading3"/>
      </w:pPr>
      <w:r>
        <w:t xml:space="preserve">6.2 Reproduce the thesis-best quantum baseline faithfully</w:t>
      </w:r>
    </w:p>
    <w:p>
      <w:pPr>
        <w:pStyle w:val="FirstParagraph"/>
      </w:pPr>
      <w:r>
        <w:t xml:space="preserve">Completed at the repository level: a faithful reproduction path for thesis HQNN-II now exists and has been evaluated as a separate model.</w:t>
      </w:r>
    </w:p>
    <w:p>
      <w:pPr>
        <w:pStyle w:val="BodyText"/>
      </w:pPr>
      <w:r>
        <w:t xml:space="preserve">Why this matters:</w:t>
      </w:r>
    </w:p>
    <w:p>
      <w:pPr>
        <w:pStyle w:val="Compact"/>
        <w:numPr>
          <w:ilvl w:val="0"/>
          <w:numId w:val="1015"/>
        </w:numPr>
      </w:pPr>
      <w:r>
        <w:t xml:space="preserve">the current Henderson-style non-trainable quantum ablation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same architecture as thesis HQNN-II</w:t>
      </w:r>
    </w:p>
    <w:p>
      <w:pPr>
        <w:pStyle w:val="Compact"/>
        <w:numPr>
          <w:ilvl w:val="0"/>
          <w:numId w:val="1015"/>
        </w:numPr>
      </w:pPr>
      <w:r>
        <w:t xml:space="preserve">current evidence shows that the thesis-faithful HQNN-II reproduction remains below the strongest classical thesis-faithful anchor</w:t>
      </w:r>
    </w:p>
    <w:bookmarkEnd w:id="28"/>
    <w:bookmarkStart w:id="29" w:name="X9a31cb45d965733be3581ab0c0dd9de5ca83dd0"/>
    <w:p>
      <w:pPr>
        <w:pStyle w:val="Heading3"/>
      </w:pPr>
      <w:r>
        <w:t xml:space="preserve">6.3 Add stronger classical baselines</w:t>
      </w:r>
    </w:p>
    <w:p>
      <w:pPr>
        <w:pStyle w:val="FirstParagraph"/>
      </w:pPr>
      <w:r>
        <w:t xml:space="preserve">Completed addition:</w:t>
      </w:r>
    </w:p>
    <w:p>
      <w:pPr>
        <w:pStyle w:val="Compact"/>
        <w:numPr>
          <w:ilvl w:val="0"/>
          <w:numId w:val="1016"/>
        </w:numPr>
      </w:pPr>
      <w:r>
        <w:t xml:space="preserve">one modern compact CNN baseline now exists:</w:t>
      </w:r>
      <w:r>
        <w:t xml:space="preserve"> </w:t>
      </w:r>
      <w:r>
        <w:rPr>
          <w:rStyle w:val="VerbatimChar"/>
        </w:rPr>
        <w:t xml:space="preserve">resnet18_cifar_gray = 88.13 ± 0.82</w:t>
      </w:r>
      <w:r>
        <w:t xml:space="preserve"> </w:t>
      </w:r>
      <w:r>
        <w:t xml:space="preserve">test over three seeds</w:t>
      </w:r>
    </w:p>
    <w:p>
      <w:pPr>
        <w:pStyle w:val="FirstParagraph"/>
      </w:pPr>
      <w:r>
        <w:t xml:space="preserve">Still optional:</w:t>
      </w:r>
    </w:p>
    <w:p>
      <w:pPr>
        <w:pStyle w:val="Compact"/>
        <w:numPr>
          <w:ilvl w:val="0"/>
          <w:numId w:val="1017"/>
        </w:numPr>
      </w:pPr>
      <w:r>
        <w:t xml:space="preserve">one transfer-learning or stronger vision baseline if reviewer pressure justifies it</w:t>
      </w:r>
    </w:p>
    <w:p>
      <w:pPr>
        <w:pStyle w:val="Compact"/>
        <w:numPr>
          <w:ilvl w:val="0"/>
          <w:numId w:val="1017"/>
        </w:numPr>
      </w:pPr>
      <w:r>
        <w:t xml:space="preserve">matched-parameter comparisons where relevant</w:t>
      </w:r>
    </w:p>
    <w:p>
      <w:pPr>
        <w:pStyle w:val="FirstParagraph"/>
      </w:pPr>
      <w:r>
        <w:t xml:space="preserve">The goal is not to make quantum look better. The goal is to make reviewer objections weaker.</w:t>
      </w:r>
    </w:p>
    <w:bookmarkEnd w:id="29"/>
    <w:bookmarkStart w:id="30" w:name="X6493df2c6b591763074c67ce19b242bad95012a"/>
    <w:p>
      <w:pPr>
        <w:pStyle w:val="Heading3"/>
      </w:pPr>
      <w:r>
        <w:t xml:space="preserve">6.4 Run multi-seed experiments</w:t>
      </w:r>
    </w:p>
    <w:p>
      <w:pPr>
        <w:pStyle w:val="FirstParagraph"/>
      </w:pPr>
      <w:r>
        <w:t xml:space="preserve">Completed for the core full-data benchmark:</w:t>
      </w:r>
    </w:p>
    <w:p>
      <w:pPr>
        <w:pStyle w:val="Compact"/>
        <w:numPr>
          <w:ilvl w:val="0"/>
          <w:numId w:val="1018"/>
        </w:numPr>
      </w:pPr>
      <w:r>
        <w:t xml:space="preserve">3 seeds for all key models</w:t>
      </w:r>
    </w:p>
    <w:p>
      <w:pPr>
        <w:pStyle w:val="Compact"/>
        <w:numPr>
          <w:ilvl w:val="0"/>
          <w:numId w:val="1018"/>
        </w:numPr>
      </w:pPr>
      <w:r>
        <w:t xml:space="preserve">report mean ± std</w:t>
      </w:r>
    </w:p>
    <w:p>
      <w:pPr>
        <w:pStyle w:val="Compact"/>
        <w:numPr>
          <w:ilvl w:val="0"/>
          <w:numId w:val="1018"/>
        </w:numPr>
      </w:pPr>
      <w:r>
        <w:t xml:space="preserve">keep splits and augmentation logic consistent</w:t>
      </w:r>
    </w:p>
    <w:p>
      <w:pPr>
        <w:pStyle w:val="FirstParagraph"/>
      </w:pPr>
      <w:r>
        <w:t xml:space="preserve">Completed for the current-local low-data confirmation:</w:t>
      </w:r>
    </w:p>
    <w:p>
      <w:pPr>
        <w:pStyle w:val="Compact"/>
        <w:numPr>
          <w:ilvl w:val="0"/>
          <w:numId w:val="1019"/>
        </w:numPr>
      </w:pPr>
      <w:r>
        <w:t xml:space="preserve">seeds 42, 43, and 44 for</w:t>
      </w:r>
      <w:r>
        <w:t xml:space="preserve"> </w:t>
      </w:r>
      <w:r>
        <w:rPr>
          <w:rStyle w:val="VerbatimChar"/>
        </w:rPr>
        <w:t xml:space="preserve">classical_conv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non_trainable_quantum</w:t>
      </w:r>
    </w:p>
    <w:p>
      <w:pPr>
        <w:pStyle w:val="Compact"/>
        <w:numPr>
          <w:ilvl w:val="0"/>
          <w:numId w:val="1019"/>
        </w:numPr>
      </w:pPr>
      <w:r>
        <w:t xml:space="preserve">fixed split seed 42 and fraction seed 42</w:t>
      </w:r>
    </w:p>
    <w:p>
      <w:pPr>
        <w:pStyle w:val="FirstParagraph"/>
      </w:pPr>
      <w:r>
        <w:t xml:space="preserve">Still optional:</w:t>
      </w:r>
    </w:p>
    <w:p>
      <w:pPr>
        <w:pStyle w:val="Compact"/>
        <w:numPr>
          <w:ilvl w:val="0"/>
          <w:numId w:val="1020"/>
        </w:numPr>
      </w:pPr>
      <w:r>
        <w:t xml:space="preserve">formal confidence intervals or significance tests if the target venue requires stronger statistical reporting</w:t>
      </w:r>
    </w:p>
    <w:p>
      <w:pPr>
        <w:pStyle w:val="Compact"/>
        <w:numPr>
          <w:ilvl w:val="0"/>
          <w:numId w:val="1020"/>
        </w:numPr>
      </w:pPr>
      <w:r>
        <w:t xml:space="preserve">extra thesis-faithful low-data seeds only if reviewer feedback specifically asks for that axis</w:t>
      </w:r>
    </w:p>
    <w:bookmarkEnd w:id="30"/>
    <w:bookmarkStart w:id="31" w:name="X154e95255bbac09eaa3e7a581ad08d6890a0bed"/>
    <w:p>
      <w:pPr>
        <w:pStyle w:val="Heading3"/>
      </w:pPr>
      <w:r>
        <w:t xml:space="preserve">6.5 Define the quantum claim narrowly</w:t>
      </w:r>
    </w:p>
    <w:p>
      <w:pPr>
        <w:pStyle w:val="FirstParagraph"/>
      </w:pPr>
      <w:r>
        <w:t xml:space="preserve">The paper should stop implicitly chasing generic "quantum advantage".</w:t>
      </w:r>
    </w:p>
    <w:p>
      <w:pPr>
        <w:pStyle w:val="BodyText"/>
      </w:pPr>
      <w:r>
        <w:t xml:space="preserve">Choose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defensible claim: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Engineering claim:</w:t>
      </w:r>
      <w:r>
        <w:t xml:space="preserve"> </w:t>
      </w:r>
      <w:r>
        <w:t xml:space="preserve">gradient stabilization and precision-boundary lessons make trainable quanvolution reproducible.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Benchmark claim:</w:t>
      </w:r>
      <w:r>
        <w:t xml:space="preserve"> </w:t>
      </w:r>
      <w:r>
        <w:t xml:space="preserve">on a hard low-data heritage OCR task, quantum and classical variants can be compared on equal footing and the current evidence favors classical baselines.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Regime claim:</w:t>
      </w:r>
      <w:r>
        <w:t xml:space="preserve"> </w:t>
      </w:r>
      <w:r>
        <w:t xml:space="preserve">quantum can be narrowly competitive in a specific current-local low-data regime, while thesis-faithful and strongest full-data comparisons remain classical-favored.</w:t>
      </w:r>
    </w:p>
    <w:p>
      <w:pPr>
        <w:pStyle w:val="FirstParagraph"/>
      </w:pPr>
      <w:r>
        <w:t xml:space="preserve">Do not claim all three unless the evidence truly supports all three.</w:t>
      </w:r>
    </w:p>
    <w:bookmarkEnd w:id="31"/>
    <w:bookmarkStart w:id="32" w:name="X60e05da02022ba11f1c61801279e22b1fc75983"/>
    <w:p>
      <w:pPr>
        <w:pStyle w:val="Heading3"/>
      </w:pPr>
      <w:r>
        <w:t xml:space="preserve">6.6 Add one broader validation axis</w:t>
      </w:r>
    </w:p>
    <w:p>
      <w:pPr>
        <w:pStyle w:val="FirstParagraph"/>
      </w:pPr>
      <w:r>
        <w:t xml:space="preserve">At least one of the following should be added:</w:t>
      </w:r>
    </w:p>
    <w:p>
      <w:pPr>
        <w:pStyle w:val="Compact"/>
        <w:numPr>
          <w:ilvl w:val="0"/>
          <w:numId w:val="1022"/>
        </w:numPr>
      </w:pPr>
      <w:r>
        <w:t xml:space="preserve">a second dataset</w:t>
      </w:r>
    </w:p>
    <w:p>
      <w:pPr>
        <w:pStyle w:val="Compact"/>
        <w:numPr>
          <w:ilvl w:val="0"/>
          <w:numId w:val="1022"/>
        </w:numPr>
      </w:pPr>
      <w:r>
        <w:t xml:space="preserve">a second-dataset, robustness, or parameter-budget extension to the May 2026 low-data scaling study</w:t>
      </w:r>
    </w:p>
    <w:p>
      <w:pPr>
        <w:pStyle w:val="Compact"/>
        <w:numPr>
          <w:ilvl w:val="0"/>
          <w:numId w:val="1022"/>
        </w:numPr>
      </w:pPr>
      <w:r>
        <w:t xml:space="preserve">parameter-budget scaling</w:t>
      </w:r>
    </w:p>
    <w:p>
      <w:pPr>
        <w:pStyle w:val="Compact"/>
        <w:numPr>
          <w:ilvl w:val="0"/>
          <w:numId w:val="1022"/>
        </w:numPr>
      </w:pPr>
      <w:r>
        <w:t xml:space="preserve">robustness / noise / corruption evaluation</w:t>
      </w:r>
    </w:p>
    <w:p>
      <w:pPr>
        <w:pStyle w:val="FirstParagraph"/>
      </w:pPr>
      <w:r>
        <w:t xml:space="preserve">Without this, the paper remains too single-benchmark to be persuasive for stronger broad-scope venues, although it is still viable as a specialized benchmark/engineering paper.</w:t>
      </w:r>
    </w:p>
    <w:bookmarkEnd w:id="32"/>
    <w:bookmarkEnd w:id="33"/>
    <w:bookmarkStart w:id="36" w:name="X3e8f82df94d107aea8ab85f1e0a6de0b19f36db"/>
    <w:p>
      <w:pPr>
        <w:pStyle w:val="Heading2"/>
      </w:pPr>
      <w:r>
        <w:t xml:space="preserve">7. Practical Two-Track Strategy</w:t>
      </w:r>
    </w:p>
    <w:bookmarkStart w:id="34" w:name="track-1-fast-publishable-paper"/>
    <w:p>
      <w:pPr>
        <w:pStyle w:val="Heading3"/>
      </w:pPr>
      <w:r>
        <w:t xml:space="preserve">Track 1: Fast publishable paper</w:t>
      </w:r>
    </w:p>
    <w:p>
      <w:pPr>
        <w:pStyle w:val="FirstParagraph"/>
      </w:pPr>
      <w:r>
        <w:t xml:space="preserve">Goal: produce a credible Q2 / specialized-journal manuscript without waiting for a perfect quantum win.</w:t>
      </w:r>
    </w:p>
    <w:p>
      <w:pPr>
        <w:pStyle w:val="BodyText"/>
      </w:pPr>
      <w:r>
        <w:t xml:space="preserve">Steps:</w:t>
      </w:r>
    </w:p>
    <w:p>
      <w:pPr>
        <w:pStyle w:val="Compact"/>
        <w:numPr>
          <w:ilvl w:val="0"/>
          <w:numId w:val="1023"/>
        </w:numPr>
      </w:pPr>
      <w:r>
        <w:t xml:space="preserve">keep claims synchronized across paper and docs after each result-language edit</w:t>
      </w:r>
    </w:p>
    <w:p>
      <w:pPr>
        <w:pStyle w:val="Compact"/>
        <w:numPr>
          <w:ilvl w:val="0"/>
          <w:numId w:val="1023"/>
        </w:numPr>
      </w:pPr>
      <w:r>
        <w:t xml:space="preserve">use the now-completed 3-seed comparisons for:</w:t>
      </w:r>
    </w:p>
    <w:p>
      <w:pPr>
        <w:pStyle w:val="Compact"/>
        <w:numPr>
          <w:ilvl w:val="1"/>
          <w:numId w:val="1024"/>
        </w:numPr>
      </w:pPr>
      <w:r>
        <w:t xml:space="preserve">thesis HQNN-II</w:t>
      </w:r>
    </w:p>
    <w:p>
      <w:pPr>
        <w:pStyle w:val="Compact"/>
        <w:numPr>
          <w:ilvl w:val="1"/>
          <w:numId w:val="1024"/>
        </w:numPr>
      </w:pPr>
      <w:r>
        <w:t xml:space="preserve">thesis CNN-III</w:t>
      </w:r>
    </w:p>
    <w:p>
      <w:pPr>
        <w:pStyle w:val="Compact"/>
        <w:numPr>
          <w:ilvl w:val="1"/>
          <w:numId w:val="1024"/>
        </w:numPr>
      </w:pPr>
      <w:r>
        <w:t xml:space="preserve">thesis CNN-IIII</w:t>
      </w:r>
    </w:p>
    <w:p>
      <w:pPr>
        <w:pStyle w:val="Compact"/>
        <w:numPr>
          <w:ilvl w:val="1"/>
          <w:numId w:val="1024"/>
        </w:numPr>
      </w:pPr>
      <w:r>
        <w:t xml:space="preserve">current Henderson-style non-trainable quantum</w:t>
      </w:r>
    </w:p>
    <w:p>
      <w:pPr>
        <w:pStyle w:val="Compact"/>
        <w:numPr>
          <w:ilvl w:val="1"/>
          <w:numId w:val="1024"/>
        </w:numPr>
      </w:pPr>
      <w:r>
        <w:t xml:space="preserve">classical_conv</w:t>
      </w:r>
    </w:p>
    <w:p>
      <w:pPr>
        <w:pStyle w:val="Compact"/>
        <w:numPr>
          <w:ilvl w:val="1"/>
          <w:numId w:val="1024"/>
        </w:numPr>
      </w:pPr>
      <w:r>
        <w:t xml:space="preserve">param_linear</w:t>
      </w:r>
    </w:p>
    <w:p>
      <w:pPr>
        <w:pStyle w:val="Compact"/>
        <w:numPr>
          <w:ilvl w:val="0"/>
          <w:numId w:val="1023"/>
        </w:numPr>
      </w:pPr>
      <w:r>
        <w:t xml:space="preserve">use the May 2026 low-data confirmation only as a narrow current-local regime claim</w:t>
      </w:r>
    </w:p>
    <w:p>
      <w:pPr>
        <w:pStyle w:val="Compact"/>
        <w:numPr>
          <w:ilvl w:val="0"/>
          <w:numId w:val="1023"/>
        </w:numPr>
      </w:pPr>
      <w:r>
        <w:t xml:space="preserve">do not schedule another V7 seed by default; keep the finished rerun artifacts and reconstructed JSON rows clearly labeled</w:t>
      </w:r>
    </w:p>
    <w:p>
      <w:pPr>
        <w:pStyle w:val="Compact"/>
        <w:numPr>
          <w:ilvl w:val="0"/>
          <w:numId w:val="1023"/>
        </w:numPr>
      </w:pPr>
      <w:r>
        <w:t xml:space="preserve">keep</w:t>
      </w:r>
      <w:r>
        <w:t xml:space="preserve"> </w:t>
      </w:r>
      <w:r>
        <w:rPr>
          <w:rStyle w:val="VerbatimChar"/>
        </w:rPr>
        <w:t xml:space="preserve">paper/draft.md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paper/draft.docx</w:t>
      </w:r>
      <w:r>
        <w:t xml:space="preserve"> </w:t>
      </w:r>
      <w:r>
        <w:t xml:space="preserve">refreshed from the current Markdown</w:t>
      </w:r>
    </w:p>
    <w:p>
      <w:pPr>
        <w:pStyle w:val="FirstParagraph"/>
      </w:pPr>
      <w:r>
        <w:t xml:space="preserve">Operational note:</w:t>
      </w:r>
      <w:r>
        <w:t xml:space="preserve"> </w:t>
      </w:r>
      <w:r>
        <w:t xml:space="preserve">the trainable-quantum confirmations have been obtained on Colab L4, the stronger modern classical upper bound has been completed locally, and the current-local low-data confirmation has been completed. The last user-reported Colab budget before this low-data confirmation was about</w:t>
      </w:r>
      <w:r>
        <w:t xml:space="preserve"> </w:t>
      </w:r>
      <w:r>
        <w:rPr>
          <w:rStyle w:val="VerbatimChar"/>
        </w:rPr>
        <w:t xml:space="preserve">245</w:t>
      </w:r>
      <w:r>
        <w:t xml:space="preserve"> </w:t>
      </w:r>
      <w:r>
        <w:t xml:space="preserve">computing units; future remote spending should address reviewer risk or a stronger venue target, not V7 artifact hygiene or already-completed low-data rows.</w:t>
      </w:r>
    </w:p>
    <w:p>
      <w:pPr>
        <w:pStyle w:val="BodyText"/>
      </w:pPr>
      <w:r>
        <w:t xml:space="preserve">This is the shortest realistic publication path.</w:t>
      </w:r>
    </w:p>
    <w:bookmarkEnd w:id="34"/>
    <w:bookmarkStart w:id="35" w:name="track-2-stronger-q1-attempt"/>
    <w:p>
      <w:pPr>
        <w:pStyle w:val="Heading3"/>
      </w:pPr>
      <w:r>
        <w:t xml:space="preserve">Track 2: Stronger Q1 attempt</w:t>
      </w:r>
    </w:p>
    <w:p>
      <w:pPr>
        <w:pStyle w:val="FirstParagraph"/>
      </w:pPr>
      <w:r>
        <w:t xml:space="preserve">Goal: upgrade the paper into a stronger benchmark / methodology contribution.</w:t>
      </w:r>
    </w:p>
    <w:p>
      <w:pPr>
        <w:pStyle w:val="BodyText"/>
      </w:pPr>
      <w:r>
        <w:t xml:space="preserve">Additional steps:</w:t>
      </w:r>
    </w:p>
    <w:p>
      <w:pPr>
        <w:pStyle w:val="Compact"/>
        <w:numPr>
          <w:ilvl w:val="0"/>
          <w:numId w:val="1025"/>
        </w:numPr>
      </w:pPr>
      <w:r>
        <w:t xml:space="preserve">add stronger classical baselines</w:t>
      </w:r>
    </w:p>
    <w:p>
      <w:pPr>
        <w:pStyle w:val="Compact"/>
        <w:numPr>
          <w:ilvl w:val="0"/>
          <w:numId w:val="1025"/>
        </w:numPr>
      </w:pPr>
      <w:r>
        <w:t xml:space="preserve">add one external or second benchmark</w:t>
      </w:r>
    </w:p>
    <w:p>
      <w:pPr>
        <w:pStyle w:val="Compact"/>
        <w:numPr>
          <w:ilvl w:val="0"/>
          <w:numId w:val="1025"/>
        </w:numPr>
      </w:pPr>
      <w:r>
        <w:t xml:space="preserve">extend the low-data result to a second dataset, robustness axis, or parameter-efficiency analysis</w:t>
      </w:r>
    </w:p>
    <w:p>
      <w:pPr>
        <w:pStyle w:val="Compact"/>
        <w:numPr>
          <w:ilvl w:val="0"/>
          <w:numId w:val="1025"/>
        </w:numPr>
      </w:pPr>
      <w:r>
        <w:t xml:space="preserve">formalize a fair comparison framework inspired by practical quantum advantage literature</w:t>
      </w:r>
    </w:p>
    <w:p>
      <w:pPr>
        <w:pStyle w:val="Compact"/>
        <w:numPr>
          <w:ilvl w:val="0"/>
          <w:numId w:val="1025"/>
        </w:numPr>
      </w:pPr>
      <w:r>
        <w:t xml:space="preserve">demonstrate at least one regime where the quantum model is genuinely competitive under rules defined in advance</w:t>
      </w:r>
    </w:p>
    <w:p>
      <w:pPr>
        <w:pStyle w:val="FirstParagraph"/>
      </w:pPr>
      <w:r>
        <w:t xml:space="preserve">This route is slower, but it is the only honest way toward a broad Q1 attempt.</w:t>
      </w:r>
    </w:p>
    <w:bookmarkEnd w:id="35"/>
    <w:bookmarkEnd w:id="36"/>
    <w:bookmarkStart w:id="37" w:name="X62849ad5644a6a30c46c426abef9a56d8742f0f"/>
    <w:p>
      <w:pPr>
        <w:pStyle w:val="Heading2"/>
      </w:pPr>
      <w:r>
        <w:t xml:space="preserve">8. Recommended Writing Position Today</w:t>
      </w:r>
    </w:p>
    <w:p>
      <w:pPr>
        <w:pStyle w:val="FirstParagraph"/>
      </w:pPr>
      <w:r>
        <w:t xml:space="preserve">The current paper should be positioned as:</w:t>
      </w:r>
    </w:p>
    <w:p>
      <w:pPr>
        <w:pStyle w:val="BlockText"/>
      </w:pPr>
      <w:r>
        <w:t xml:space="preserve">A rigorous comparative study of trainable and non-trainable quanvolutional models for Ottoman handwritten character recognition, with emphasis on failure analysis, benchmarking discipline, and reproducible engineering lessons for hybrid QML.</w:t>
      </w:r>
    </w:p>
    <w:p>
      <w:pPr>
        <w:pStyle w:val="FirstParagraph"/>
      </w:pPr>
      <w:r>
        <w:t xml:space="preserve">That is much stronger and more defensible than:</w:t>
      </w:r>
    </w:p>
    <w:p>
      <w:pPr>
        <w:pStyle w:val="BlockText"/>
      </w:pPr>
      <w:r>
        <w:t xml:space="preserve">A quantum model that outperforms classical OCR.</w:t>
      </w:r>
    </w:p>
    <w:bookmarkEnd w:id="37"/>
    <w:bookmarkStart w:id="38" w:name="Xa4d1f126a868c6a0f3a677b3c9292541c9d2357"/>
    <w:p>
      <w:pPr>
        <w:pStyle w:val="Heading2"/>
      </w:pPr>
      <w:r>
        <w:t xml:space="preserve">9. Immediate Action List</w:t>
      </w:r>
    </w:p>
    <w:p>
      <w:pPr>
        <w:pStyle w:val="Compact"/>
        <w:numPr>
          <w:ilvl w:val="0"/>
          <w:numId w:val="1026"/>
        </w:numPr>
      </w:pPr>
      <w:r>
        <w:t xml:space="preserve">Keep reconstructed April 2026 V7 rows clearly labeled, and sync copied Colab</w:t>
      </w:r>
      <w:r>
        <w:t xml:space="preserve"> </w:t>
      </w:r>
      <w:r>
        <w:rPr>
          <w:rStyle w:val="VerbatimChar"/>
        </w:rPr>
        <w:t xml:space="preserve">experiments/v7_*</w:t>
      </w:r>
      <w:r>
        <w:t xml:space="preserve"> </w:t>
      </w:r>
      <w:r>
        <w:t xml:space="preserve">metadata only if it is still available.</w:t>
      </w:r>
    </w:p>
    <w:p>
      <w:pPr>
        <w:pStyle w:val="Compact"/>
        <w:numPr>
          <w:ilvl w:val="0"/>
          <w:numId w:val="1026"/>
        </w:numPr>
      </w:pPr>
      <w:r>
        <w:t xml:space="preserve">Keep the May 2026 low-data claim scoped to the current-local</w:t>
      </w:r>
      <w:r>
        <w:t xml:space="preserve"> </w:t>
      </w:r>
      <w:r>
        <w:rPr>
          <w:rStyle w:val="VerbatimChar"/>
        </w:rPr>
        <w:t xml:space="preserve">non_trainable_quantum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classical_conv</w:t>
      </w:r>
      <w:r>
        <w:t xml:space="preserve"> </w:t>
      </w:r>
      <w:r>
        <w:t xml:space="preserve">comparison unless new artifacts expand it.</w:t>
      </w:r>
    </w:p>
    <w:p>
      <w:pPr>
        <w:pStyle w:val="Compact"/>
        <w:numPr>
          <w:ilvl w:val="0"/>
          <w:numId w:val="1026"/>
        </w:numPr>
      </w:pPr>
      <w:r>
        <w:t xml:space="preserve">Maintain synchronized Markdown and Word exports for</w:t>
      </w:r>
      <w:r>
        <w:t xml:space="preserve"> </w:t>
      </w:r>
      <w:r>
        <w:rPr>
          <w:rStyle w:val="VerbatimChar"/>
        </w:rPr>
        <w:t xml:space="preserve">paper/draft.md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docs/SUBMISSION_BENCHMARK_2026-03-25.md</w:t>
      </w:r>
      <w:r>
        <w:t xml:space="preserve">, and this strategy document.</w:t>
      </w:r>
    </w:p>
    <w:p>
      <w:pPr>
        <w:pStyle w:val="Compact"/>
        <w:numPr>
          <w:ilvl w:val="0"/>
          <w:numId w:val="1026"/>
        </w:numPr>
      </w:pPr>
      <w:r>
        <w:t xml:space="preserve">Decide whether the paper will follow the specialized QML-insight route or the OCR/heritage route.</w:t>
      </w:r>
    </w:p>
    <w:p>
      <w:pPr>
        <w:pStyle w:val="Compact"/>
        <w:numPr>
          <w:ilvl w:val="0"/>
          <w:numId w:val="1026"/>
        </w:numPr>
      </w:pPr>
      <w:r>
        <w:t xml:space="preserve">Use Colab only for a paper-impactful extension, such as second-dataset/robustness transfer or reviewer-requested statistics.</w:t>
      </w:r>
    </w:p>
    <w:bookmarkEnd w:id="38"/>
    <w:bookmarkStart w:id="39" w:name="X0f8def73ffde1cadc912bd4b543c62bb391cc99"/>
    <w:p>
      <w:pPr>
        <w:pStyle w:val="Heading2"/>
      </w:pPr>
      <w:r>
        <w:t xml:space="preserve">10. Source Notes</w:t>
      </w:r>
    </w:p>
    <w:p>
      <w:pPr>
        <w:pStyle w:val="FirstParagraph"/>
      </w:pPr>
      <w:r>
        <w:t xml:space="preserve">This strategy was informed by:</w:t>
      </w:r>
    </w:p>
    <w:p>
      <w:pPr>
        <w:pStyle w:val="Compact"/>
        <w:numPr>
          <w:ilvl w:val="0"/>
          <w:numId w:val="1027"/>
        </w:numPr>
      </w:pPr>
      <w:r>
        <w:t xml:space="preserve">the current repository evidence</w:t>
      </w:r>
    </w:p>
    <w:p>
      <w:pPr>
        <w:pStyle w:val="Compact"/>
        <w:numPr>
          <w:ilvl w:val="0"/>
          <w:numId w:val="1027"/>
        </w:numPr>
      </w:pPr>
      <w:r>
        <w:t xml:space="preserve">the present paper draft and roadmap</w:t>
      </w:r>
    </w:p>
    <w:p>
      <w:pPr>
        <w:pStyle w:val="Compact"/>
        <w:numPr>
          <w:ilvl w:val="0"/>
          <w:numId w:val="1027"/>
        </w:numPr>
      </w:pPr>
      <w:r>
        <w:t xml:space="preserve">current journal scope pages</w:t>
      </w:r>
    </w:p>
    <w:p>
      <w:pPr>
        <w:pStyle w:val="Compact"/>
        <w:numPr>
          <w:ilvl w:val="0"/>
          <w:numId w:val="1027"/>
        </w:numPr>
      </w:pPr>
      <w:r>
        <w:t xml:space="preserve">recent QML literature emphasizing either fair classical comparison or scope-limited but rigorous hybrid-QML analysis</w:t>
      </w:r>
    </w:p>
    <w:p>
      <w:pPr>
        <w:pStyle w:val="FirstParagraph"/>
      </w:pPr>
      <w:r>
        <w:t xml:space="preserve">Relevant sources:</w:t>
      </w:r>
    </w:p>
    <w:p>
      <w:pPr>
        <w:pStyle w:val="Compact"/>
        <w:numPr>
          <w:ilvl w:val="0"/>
          <w:numId w:val="1028"/>
        </w:numPr>
      </w:pPr>
      <w:r>
        <w:t xml:space="preserve">Expert Systems with Applications aims and scope:</w:t>
      </w:r>
      <w:r>
        <w:t xml:space="preserve"> </w:t>
      </w:r>
      <w:r>
        <w:rPr>
          <w:rStyle w:val="VerbatimChar"/>
        </w:rPr>
        <w:t xml:space="preserve">https://www.sciencedirect.com/journal/expert-systems-with-applications</w:t>
      </w:r>
    </w:p>
    <w:p>
      <w:pPr>
        <w:pStyle w:val="Compact"/>
        <w:numPr>
          <w:ilvl w:val="0"/>
          <w:numId w:val="1028"/>
        </w:numPr>
      </w:pPr>
      <w:r>
        <w:t xml:space="preserve">Machine Learning with Applications aims and scope:</w:t>
      </w:r>
      <w:r>
        <w:t xml:space="preserve"> </w:t>
      </w:r>
      <w:r>
        <w:rPr>
          <w:rStyle w:val="VerbatimChar"/>
        </w:rPr>
        <w:t xml:space="preserve">https://www.sciencedirect.com/journal/machine-learning-with-applications</w:t>
      </w:r>
    </w:p>
    <w:p>
      <w:pPr>
        <w:pStyle w:val="Compact"/>
        <w:numPr>
          <w:ilvl w:val="0"/>
          <w:numId w:val="1028"/>
        </w:numPr>
      </w:pPr>
      <w:r>
        <w:t xml:space="preserve">SCImago category example showing broad AI Q1 venue context:</w:t>
      </w:r>
      <w:r>
        <w:t xml:space="preserve"> </w:t>
      </w:r>
      <w:r>
        <w:rPr>
          <w:rStyle w:val="VerbatimChar"/>
        </w:rPr>
        <w:t xml:space="preserve">https://www.scimagojr.com/journalrank.php?category=1702&amp;country=GB&amp;ord=desc&amp;order=cd</w:t>
      </w:r>
    </w:p>
    <w:p>
      <w:pPr>
        <w:pStyle w:val="Compact"/>
        <w:numPr>
          <w:ilvl w:val="0"/>
          <w:numId w:val="1028"/>
        </w:numPr>
      </w:pPr>
      <w:r>
        <w:t xml:space="preserve">SCImago category example for Quantum Machine Intelligence:</w:t>
      </w:r>
      <w:r>
        <w:t xml:space="preserve"> </w:t>
      </w:r>
      <w:r>
        <w:rPr>
          <w:rStyle w:val="VerbatimChar"/>
        </w:rPr>
        <w:t xml:space="preserve">https://www.scimagojr.com/journalrank.php?category=2614&amp;country=DE</w:t>
      </w:r>
    </w:p>
    <w:p>
      <w:pPr>
        <w:pStyle w:val="Compact"/>
        <w:numPr>
          <w:ilvl w:val="0"/>
          <w:numId w:val="1028"/>
        </w:numPr>
      </w:pPr>
      <w:r>
        <w:t xml:space="preserve">SCImago category example for Journal on Computing and Cultural Heritage:</w:t>
      </w:r>
      <w:r>
        <w:t xml:space="preserve"> </w:t>
      </w:r>
      <w:r>
        <w:rPr>
          <w:rStyle w:val="VerbatimChar"/>
        </w:rPr>
        <w:t xml:space="preserve">https://www.scimagojr.com/diamond/journalrank.php?category=1206&amp;country=OECD&amp;type=j</w:t>
      </w:r>
    </w:p>
    <w:p>
      <w:pPr>
        <w:pStyle w:val="Compact"/>
        <w:numPr>
          <w:ilvl w:val="0"/>
          <w:numId w:val="1028"/>
        </w:numPr>
      </w:pPr>
      <w:r>
        <w:t xml:space="preserve">Quantum Machine Intelligence example article discussing limited but well-defined QML investigations:</w:t>
      </w:r>
      <w:r>
        <w:t xml:space="preserve"> </w:t>
      </w:r>
      <w:r>
        <w:rPr>
          <w:rStyle w:val="VerbatimChar"/>
        </w:rPr>
        <w:t xml:space="preserve">https://link.springer.com/article/10.1007/s42484-024-00200-0</w:t>
      </w:r>
    </w:p>
    <w:p>
      <w:pPr>
        <w:pStyle w:val="Compact"/>
        <w:numPr>
          <w:ilvl w:val="0"/>
          <w:numId w:val="1028"/>
        </w:numPr>
      </w:pPr>
      <w:r>
        <w:t xml:space="preserve">Practical quantum advantage framework:</w:t>
      </w:r>
      <w:r>
        <w:t xml:space="preserve"> </w:t>
      </w:r>
      <w:r>
        <w:rPr>
          <w:rStyle w:val="VerbatimChar"/>
        </w:rPr>
        <w:t xml:space="preserve">https://www.nature.com/articles/s42005-024-01552-6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2026-05-16T20:45:48Z</dcterms:created>
  <dcterms:modified xsi:type="dcterms:W3CDTF">2026-05-16T20:45:48Z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