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bmission-benchmark-and-claim-set"/>
    <w:p>
      <w:pPr>
        <w:pStyle w:val="Heading1"/>
      </w:pPr>
      <w:r>
        <w:t xml:space="preserve">Submission Benchmark And Claim Set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16, 2026</w:t>
      </w:r>
    </w:p>
    <w:p>
      <w:pPr>
        <w:pStyle w:val="BodyText"/>
      </w:pPr>
      <w:r>
        <w:t xml:space="preserve">This document freezes the benchmark picture that is currently safe to use for manuscript rewriting after the May 2026 low-data confirmation and paper cleanup pass.</w:t>
      </w:r>
    </w:p>
    <w:p>
      <w:pPr>
        <w:pStyle w:val="BodyText"/>
      </w:pPr>
      <w:r>
        <w:t xml:space="preserve">Use this file together with: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docs/BENCHMARK_SUMMARY.md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docs/PUBLICATION_STRATEGY_2026-03-22.md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docs/EXPERIMENTS.md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docs/LOW_DATA_SUMMARY.md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paper/draft.md</w:t>
      </w:r>
    </w:p>
    <w:bookmarkStart w:id="14" w:name="X3bf0790ccf5029525eca2e5cdd8b7409aad2832"/>
    <w:p>
      <w:pPr>
        <w:pStyle w:val="Heading2"/>
      </w:pPr>
      <w:r>
        <w:t xml:space="preserve">1. Main Benchmark Snapshot</w:t>
      </w:r>
    </w:p>
    <w:bookmarkStart w:id="9" w:name="Xa8562d2beffdfc258d9455911579accd8640699"/>
    <w:p>
      <w:pPr>
        <w:pStyle w:val="Heading3"/>
      </w:pPr>
      <w:r>
        <w:t xml:space="preserve">1.1 Thesis-faithful family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thesis_cnniiii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85.26 ± 0.97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92.11 ±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1,378,124</w:t>
            </w:r>
          </w:p>
        </w:tc>
        <w:tc>
          <w:tcPr/>
          <w:p>
            <w:pPr>
              <w:pStyle w:val="Compact"/>
            </w:pPr>
            <w:r>
              <w:t xml:space="preserve">strongest thesis-faithful anchor; above thesis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thesis_cnn3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79.33 ± 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85.38 ± 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769,804</w:t>
            </w:r>
          </w:p>
        </w:tc>
        <w:tc>
          <w:tcPr/>
          <w:p>
            <w:pPr>
              <w:pStyle w:val="Compact"/>
            </w:pPr>
            <w:r>
              <w:t xml:space="preserve">weaker classical thesis-faithful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thesis_hqnn2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78.61 ± 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83.72 ± 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248,428</w:t>
            </w:r>
          </w:p>
        </w:tc>
        <w:tc>
          <w:tcPr/>
          <w:p>
            <w:pPr>
              <w:pStyle w:val="Compact"/>
            </w:pPr>
            <w:r>
              <w:t xml:space="preserve">best thesis-faithful quantum reproduction, but below thesis table and below</w:t>
            </w:r>
            <w:r>
              <w:t xml:space="preserve"> </w:t>
            </w:r>
            <w:r>
              <w:rPr>
                <w:rStyle w:val="VerbatimChar"/>
              </w:rPr>
              <w:t xml:space="preserve">thesis_cnniiii</w:t>
            </w:r>
          </w:p>
        </w:tc>
      </w:tr>
    </w:tbl>
    <w:bookmarkEnd w:id="9"/>
    <w:bookmarkStart w:id="10" w:name="Xda816aca73678c0df8d91b968bfa9ddc6b22968"/>
    <w:p>
      <w:pPr>
        <w:pStyle w:val="Heading3"/>
      </w:pPr>
      <w:r>
        <w:t xml:space="preserve">1.2 Current-local matched-budget family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classical_conv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81.40 ± 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86.26 ± 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88,045</w:t>
            </w:r>
          </w:p>
        </w:tc>
        <w:tc>
          <w:tcPr/>
          <w:p>
            <w:pPr>
              <w:pStyle w:val="Compact"/>
            </w:pPr>
            <w:r>
              <w:t xml:space="preserve">strongest current-local model by mean test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81.12 ± 2.27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86.45 ± 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matched classical replacement; nearly equal to</w:t>
            </w:r>
            <w:r>
              <w:t xml:space="preserve"> </w:t>
            </w:r>
            <w:r>
              <w:rPr>
                <w:rStyle w:val="VerbatimChar"/>
              </w:rPr>
              <w:t xml:space="preserve">classical_conv</w:t>
            </w:r>
            <w:r>
              <w:t xml:space="preserve"> </w:t>
            </w:r>
            <w:r>
              <w:t xml:space="preserve">on mean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non_trainable_quantum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80.40 ± 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85.77 ± 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88,488</w:t>
            </w:r>
          </w:p>
        </w:tc>
        <w:tc>
          <w:tcPr/>
          <w:p>
            <w:pPr>
              <w:pStyle w:val="Compact"/>
            </w:pPr>
            <w:r>
              <w:t xml:space="preserve">stable Henderson-style non-trainable quantum baseline, but not the best current-local model</w:t>
            </w:r>
          </w:p>
        </w:tc>
      </w:tr>
    </w:tbl>
    <w:bookmarkEnd w:id="10"/>
    <w:bookmarkStart w:id="11" w:name="X9a87420849af5f52898fe2531cb98545b318e90"/>
    <w:p>
      <w:pPr>
        <w:pStyle w:val="Heading3"/>
      </w:pPr>
      <w:r>
        <w:t xml:space="preserve">1.3 Trainable quantum case-study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V7_trainable_quantum_rerun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resumed rerun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April 6 resumed trainable-quantum engineering case-study, still not current benchmark leader; Drive-backed checkpoint files are now synced locally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V7_trainable_quantum_clean_20260427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clean non-resumed rerun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clean April 27-28 Colab L4 run reconstructed from captured notebook output after runtime disconnect; checkpoint files exist in Drive, but the JSON/experiment metadata was not copied before disconnect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V7_trainable_quantum_documented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documented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87,798</w:t>
            </w:r>
          </w:p>
        </w:tc>
        <w:tc>
          <w:tcPr/>
          <w:p>
            <w:pPr>
              <w:pStyle w:val="Compact"/>
            </w:pPr>
            <w:r>
              <w:t xml:space="preserve">older documented trainable result retained for historical comparison</w:t>
            </w:r>
          </w:p>
        </w:tc>
      </w:tr>
    </w:tbl>
    <w:bookmarkEnd w:id="11"/>
    <w:bookmarkStart w:id="12" w:name="X21d89f2c1f32697ea4ff69e62a8e4d91047157a"/>
    <w:p>
      <w:pPr>
        <w:pStyle w:val="Heading3"/>
      </w:pPr>
      <w:r>
        <w:t xml:space="preserve">1.4 Modern-classical upper bound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resnet18_cifar_gray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88.13 ± 0.82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92.98 ± 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11,190,252</w:t>
            </w:r>
          </w:p>
        </w:tc>
        <w:tc>
          <w:tcPr/>
          <w:p>
            <w:pPr>
              <w:pStyle w:val="Compact"/>
            </w:pPr>
            <w:r>
              <w:t xml:space="preserve">reviewer-proof stronger classical upper bound; useful for rebutting claims that the benchmark lacks a modern vision baseline</w:t>
            </w:r>
          </w:p>
        </w:tc>
      </w:tr>
    </w:tbl>
    <w:bookmarkEnd w:id="12"/>
    <w:bookmarkStart w:id="13" w:name="X758ab2d1bf0c8bb835d1df3f44725e4d677e179"/>
    <w:p>
      <w:pPr>
        <w:pStyle w:val="Heading3"/>
      </w:pPr>
      <w:r>
        <w:t xml:space="preserve">1.5 Low-data scaling axis</w:t>
      </w:r>
    </w:p>
    <w:p>
      <w:pPr>
        <w:pStyle w:val="FirstParagraph"/>
      </w:pPr>
      <w:r>
        <w:t xml:space="preserve">Current-local rows are three-seed means over seeds 42, 43, and 44. Thesis-faithful rows are seed-42 pilot evidence 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Classical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Quantum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C-Q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current-local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classical_conv</w:t>
            </w:r>
            <w:r>
              <w:t xml:space="preserve">: 48.42 ± 2.31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: 50.71 ± 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-2.29</w:t>
            </w:r>
          </w:p>
        </w:tc>
        <w:tc>
          <w:tcPr/>
          <w:p>
            <w:pPr>
              <w:pStyle w:val="Compact"/>
            </w:pPr>
            <w:r>
              <w:t xml:space="preserve">quantum ahead in this paired low-data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current-local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classical_conv</w:t>
            </w:r>
            <w:r>
              <w:t xml:space="preserve">: 66.24 ± 1.78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: 69.88 ± 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-3.64</w:t>
            </w:r>
          </w:p>
        </w:tc>
        <w:tc>
          <w:tcPr/>
          <w:p>
            <w:pPr>
              <w:pStyle w:val="Compact"/>
            </w:pPr>
            <w:r>
              <w:t xml:space="preserve">quantum ahead in this paired low-data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current-local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classical_conv</w:t>
            </w:r>
            <w:r>
              <w:t xml:space="preserve">: 75.61 ± 1.02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: 76.75 ± 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</w:t>
            </w:r>
          </w:p>
        </w:tc>
        <w:tc>
          <w:tcPr/>
          <w:p>
            <w:pPr>
              <w:pStyle w:val="Compact"/>
            </w:pPr>
            <w:r>
              <w:t xml:space="preserve">quantum ahead in this paired low-data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current-local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classical_conv</w:t>
            </w:r>
            <w:r>
              <w:t xml:space="preserve">: 80.47 ± 0.57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non_trainable_quantum</w:t>
            </w:r>
            <w:r>
              <w:t xml:space="preserve">: 80.76 ± 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</w:t>
            </w:r>
          </w:p>
        </w:tc>
        <w:tc>
          <w:tcPr/>
          <w:p>
            <w:pPr>
              <w:pStyle w:val="Compact"/>
            </w:pPr>
            <w:r>
              <w:t xml:space="preserve">quantum ahead narrowly in this paired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thesis_cnniiii</w:t>
            </w:r>
            <w:r>
              <w:t xml:space="preserve">: 65.88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thesis_hqnn2</w:t>
            </w:r>
            <w:r>
              <w:t xml:space="preserve">: 50.43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15.45</w:t>
            </w:r>
          </w:p>
        </w:tc>
        <w:tc>
          <w:tcPr/>
          <w:p>
            <w:pPr>
              <w:pStyle w:val="Compact"/>
            </w:pPr>
            <w:r>
              <w:t xml:space="preserve">seed-42 pilot remains classical-favored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thesis_cnniiii</w:t>
            </w:r>
            <w:r>
              <w:t xml:space="preserve">: 79.61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thesis_hqnn2</w:t>
            </w:r>
            <w:r>
              <w:t xml:space="preserve">: 62.45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17.16</w:t>
            </w:r>
          </w:p>
        </w:tc>
        <w:tc>
          <w:tcPr/>
          <w:p>
            <w:pPr>
              <w:pStyle w:val="Compact"/>
            </w:pPr>
            <w:r>
              <w:t xml:space="preserve">seed-42 pilot remains classical-favored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thesis_cnniiii</w:t>
            </w:r>
            <w:r>
              <w:t xml:space="preserve">: 82.40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thesis_hqnn2</w:t>
            </w:r>
            <w:r>
              <w:t xml:space="preserve">: 72.10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</w:t>
            </w:r>
          </w:p>
        </w:tc>
        <w:tc>
          <w:tcPr/>
          <w:p>
            <w:pPr>
              <w:pStyle w:val="Compact"/>
            </w:pPr>
            <w:r>
              <w:t xml:space="preserve">seed-42 pilot remains classical-favored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thesis-faithful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thesis_cnniiii</w:t>
            </w:r>
            <w:r>
              <w:t xml:space="preserve">: 85.19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thesis_hqnn2</w:t>
            </w:r>
            <w:r>
              <w:t xml:space="preserve">: 78.33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</w:t>
            </w:r>
          </w:p>
        </w:tc>
        <w:tc>
          <w:tcPr/>
          <w:p>
            <w:pPr>
              <w:pStyle w:val="Compact"/>
            </w:pPr>
            <w:r>
              <w:t xml:space="preserve">seed-42 pilot remains classical-favored</w:t>
            </w:r>
          </w:p>
        </w:tc>
      </w:tr>
    </w:tbl>
    <w:bookmarkEnd w:id="13"/>
    <w:bookmarkEnd w:id="14"/>
    <w:bookmarkStart w:id="15" w:name="Xee63ae84c6c3291f34ebed59b372d66f138ee78"/>
    <w:p>
      <w:pPr>
        <w:pStyle w:val="Heading2"/>
      </w:pPr>
      <w:r>
        <w:t xml:space="preserve">2. Safe Claim Hierarchy</w:t>
      </w:r>
    </w:p>
    <w:p>
      <w:pPr>
        <w:pStyle w:val="FirstParagraph"/>
      </w:pPr>
      <w:r>
        <w:t xml:space="preserve">These are the strongest claims currently supported by repository artifacts.</w:t>
      </w:r>
    </w:p>
    <w:p>
      <w:pPr>
        <w:pStyle w:val="Compact"/>
        <w:numPr>
          <w:ilvl w:val="0"/>
          <w:numId w:val="1002"/>
        </w:numPr>
      </w:pPr>
      <w:r>
        <w:t xml:space="preserve">The repository now supports a</w:t>
      </w:r>
      <w:r>
        <w:t xml:space="preserve"> </w:t>
      </w:r>
      <w:r>
        <w:rPr>
          <w:b/>
          <w:bCs/>
        </w:rPr>
        <w:t xml:space="preserve">reproducible benchmark story</w:t>
      </w:r>
      <w:r>
        <w:t xml:space="preserve">, not a quantum-win story.</w:t>
      </w:r>
    </w:p>
    <w:p>
      <w:pPr>
        <w:pStyle w:val="Compact"/>
        <w:numPr>
          <w:ilvl w:val="0"/>
          <w:numId w:val="1002"/>
        </w:numPr>
      </w:pPr>
      <w:r>
        <w:t xml:space="preserve">In the current-local matched-budget family,</w:t>
      </w:r>
      <w:r>
        <w:t xml:space="preserve"> </w:t>
      </w:r>
      <w:r>
        <w:rPr>
          <w:b/>
          <w:bCs/>
        </w:rPr>
        <w:t xml:space="preserve">classical baselines outperform the current Henderson-style non-trainable quantum baseline on full-data mean test accuracy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 thesis-faithful family,</w:t>
      </w:r>
      <w:r>
        <w:t xml:space="preserve"> </w:t>
      </w:r>
      <w:r>
        <w:rPr>
          <w:b/>
          <w:bCs/>
        </w:rPr>
        <w:t xml:space="preserve">the strongest reproduced model is classical (</w:t>
      </w:r>
      <w:r>
        <w:rPr>
          <w:rStyle w:val="VerbatimChar"/>
          <w:b/>
          <w:bCs/>
        </w:rPr>
        <w:t xml:space="preserve">thesis_cnniiii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stronger modern classical upper bound now also exists:</w:t>
      </w:r>
      <w:r>
        <w:t xml:space="preserve"> </w:t>
      </w:r>
      <w:r>
        <w:rPr>
          <w:rStyle w:val="VerbatimChar"/>
        </w:rPr>
        <w:t xml:space="preserve">resnet18_cifar_gray</w:t>
      </w:r>
      <w:r>
        <w:t xml:space="preserve"> </w:t>
      </w:r>
      <w:r>
        <w:t xml:space="preserve">reaches</w:t>
      </w:r>
      <w:r>
        <w:t xml:space="preserve"> </w:t>
      </w:r>
      <w:r>
        <w:rPr>
          <w:b/>
          <w:bCs/>
        </w:rPr>
        <w:t xml:space="preserve">88.13 ± 0.82%</w:t>
      </w:r>
      <w:r>
        <w:t xml:space="preserve"> </w:t>
      </w:r>
      <w:r>
        <w:t xml:space="preserve">test accuracy on the same fixed split.</w:t>
      </w:r>
    </w:p>
    <w:p>
      <w:pPr>
        <w:pStyle w:val="Compact"/>
        <w:numPr>
          <w:ilvl w:val="0"/>
          <w:numId w:val="1002"/>
        </w:numPr>
      </w:pPr>
      <w:r>
        <w:t xml:space="preserve">The thesis-faithful quantum reproduction (</w:t>
      </w:r>
      <w:r>
        <w:rPr>
          <w:rStyle w:val="VerbatimChar"/>
        </w:rPr>
        <w:t xml:space="preserve">thesis_hqnn2</w:t>
      </w:r>
      <w:r>
        <w:t xml:space="preserve">) is competitive with</w:t>
      </w:r>
      <w:r>
        <w:t xml:space="preserve"> </w:t>
      </w:r>
      <w:r>
        <w:rPr>
          <w:rStyle w:val="VerbatimChar"/>
        </w:rPr>
        <w:t xml:space="preserve">thesis_cnn3</w:t>
      </w:r>
      <w:r>
        <w:t xml:space="preserve">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surpass the strongest classical thesis-faithful model.</w:t>
      </w:r>
    </w:p>
    <w:p>
      <w:pPr>
        <w:pStyle w:val="Compact"/>
        <w:numPr>
          <w:ilvl w:val="0"/>
          <w:numId w:val="1002"/>
        </w:numPr>
      </w:pPr>
      <w:r>
        <w:t xml:space="preserve">The May 2026 low-data confirmation supports a</w:t>
      </w:r>
      <w:r>
        <w:t xml:space="preserve"> </w:t>
      </w:r>
      <w:r>
        <w:rPr>
          <w:b/>
          <w:bCs/>
        </w:rPr>
        <w:t xml:space="preserve">specific current-local low-data competitiveness signal</w:t>
      </w:r>
      <w:r>
        <w:t xml:space="preserve">:</w:t>
      </w:r>
      <w:r>
        <w:t xml:space="preserve"> </w:t>
      </w:r>
      <w:r>
        <w:rPr>
          <w:rStyle w:val="VerbatimChar"/>
        </w:rPr>
        <w:t xml:space="preserve">non_trainable_quantum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classical_conv</w:t>
      </w:r>
      <w:r>
        <w:t xml:space="preserve"> </w:t>
      </w:r>
      <w:r>
        <w:t xml:space="preserve">on three-seed mean test accuracy at the tested train fractions.</w:t>
      </w:r>
    </w:p>
    <w:p>
      <w:pPr>
        <w:pStyle w:val="Compact"/>
        <w:numPr>
          <w:ilvl w:val="0"/>
          <w:numId w:val="1002"/>
        </w:numPr>
      </w:pPr>
      <w:r>
        <w:t xml:space="preserve">V7 remains valuable as a</w:t>
      </w:r>
      <w:r>
        <w:t xml:space="preserve"> </w:t>
      </w:r>
      <w:r>
        <w:rPr>
          <w:b/>
          <w:bCs/>
        </w:rPr>
        <w:t xml:space="preserve">hybrid-QML engineering and stabilization case-study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information bottleneck threshold</w:t>
      </w:r>
    </w:p>
    <w:p>
      <w:pPr>
        <w:pStyle w:val="Compact"/>
        <w:numPr>
          <w:ilvl w:val="1"/>
          <w:numId w:val="1003"/>
        </w:numPr>
      </w:pPr>
      <w:r>
        <w:t xml:space="preserve">gradient stabilization</w:t>
      </w:r>
    </w:p>
    <w:p>
      <w:pPr>
        <w:pStyle w:val="Compact"/>
        <w:numPr>
          <w:ilvl w:val="1"/>
          <w:numId w:val="1003"/>
        </w:numPr>
      </w:pPr>
      <w:r>
        <w:t xml:space="preserve">AMP / float16 incompatibility at the quantum boundary</w:t>
      </w:r>
    </w:p>
    <w:p>
      <w:pPr>
        <w:pStyle w:val="Compact"/>
        <w:numPr>
          <w:ilvl w:val="1"/>
          <w:numId w:val="1003"/>
        </w:numPr>
      </w:pPr>
      <w:r>
        <w:t xml:space="preserve">Colab reruns without NaN failure, with observed single-run V7 test range from</w:t>
      </w:r>
      <w:r>
        <w:t xml:space="preserve"> </w:t>
      </w:r>
      <w:r>
        <w:rPr>
          <w:rStyle w:val="VerbatimChar"/>
        </w:rPr>
        <w:t xml:space="preserve">65.88%</w:t>
      </w:r>
      <w:r>
        <w:t xml:space="preserve"> </w:t>
      </w:r>
      <w:r>
        <w:t xml:space="preserve">clean non-resumed to</w:t>
      </w:r>
      <w:r>
        <w:t xml:space="preserve"> </w:t>
      </w:r>
      <w:r>
        <w:rPr>
          <w:rStyle w:val="VerbatimChar"/>
        </w:rPr>
        <w:t xml:space="preserve">72.53%</w:t>
      </w:r>
      <w:r>
        <w:t xml:space="preserve"> </w:t>
      </w:r>
      <w:r>
        <w:t xml:space="preserve">resumed</w:t>
      </w:r>
    </w:p>
    <w:bookmarkEnd w:id="15"/>
    <w:bookmarkStart w:id="16" w:name="Xcae0454430a9c536bbc651a5031a4f11d154926"/>
    <w:p>
      <w:pPr>
        <w:pStyle w:val="Heading2"/>
      </w:pPr>
      <w:r>
        <w:t xml:space="preserve">3. Claims To Avoid</w:t>
      </w:r>
    </w:p>
    <w:p>
      <w:pPr>
        <w:pStyle w:val="FirstParagraph"/>
      </w:pPr>
      <w:r>
        <w:t xml:space="preserve">Do not currently claim any of the following:</w:t>
      </w:r>
    </w:p>
    <w:p>
      <w:pPr>
        <w:pStyle w:val="Compact"/>
        <w:numPr>
          <w:ilvl w:val="0"/>
          <w:numId w:val="1004"/>
        </w:numPr>
      </w:pPr>
      <w:r>
        <w:t xml:space="preserve">generic "quantum advantage"</w:t>
      </w:r>
    </w:p>
    <w:p>
      <w:pPr>
        <w:pStyle w:val="Compact"/>
        <w:numPr>
          <w:ilvl w:val="0"/>
          <w:numId w:val="1004"/>
        </w:numPr>
      </w:pPr>
      <w:r>
        <w:t xml:space="preserve">that the trainable quantum path is the best model in the study</w:t>
      </w:r>
    </w:p>
    <w:p>
      <w:pPr>
        <w:pStyle w:val="Compact"/>
        <w:numPr>
          <w:ilvl w:val="0"/>
          <w:numId w:val="1004"/>
        </w:numPr>
      </w:pPr>
      <w:r>
        <w:t xml:space="preserve">that the Henderson-style non-trainable quantum baseline beats matched classical replacements under the full-data protocol</w:t>
      </w:r>
    </w:p>
    <w:p>
      <w:pPr>
        <w:pStyle w:val="Compact"/>
        <w:numPr>
          <w:ilvl w:val="0"/>
          <w:numId w:val="1004"/>
        </w:numPr>
      </w:pPr>
      <w:r>
        <w:t xml:space="preserve">that the May 2026 low-data signal generalizes to thesis HQNN-II, trainable V7, other datasets, quantum hardware, or generic quantum advantage</w:t>
      </w:r>
    </w:p>
    <w:p>
      <w:pPr>
        <w:pStyle w:val="Compact"/>
        <w:numPr>
          <w:ilvl w:val="0"/>
          <w:numId w:val="1004"/>
        </w:numPr>
      </w:pPr>
      <w:r>
        <w:t xml:space="preserve">that thesis HQNN-II has been surpassed by a quantum successor</w:t>
      </w:r>
    </w:p>
    <w:p>
      <w:pPr>
        <w:pStyle w:val="Compact"/>
        <w:numPr>
          <w:ilvl w:val="0"/>
          <w:numId w:val="1004"/>
        </w:numPr>
      </w:pPr>
      <w:r>
        <w:t xml:space="preserve">that simulator-side quantum methods provide a clear practical compute advantage</w:t>
      </w:r>
    </w:p>
    <w:bookmarkEnd w:id="16"/>
    <w:bookmarkStart w:id="17" w:name="Xc710c7d630c758f8e70edc8f284f6137b53cb38"/>
    <w:p>
      <w:pPr>
        <w:pStyle w:val="Heading2"/>
      </w:pPr>
      <w:r>
        <w:t xml:space="preserve">4. Recommended Main Paper Narrative</w:t>
      </w:r>
    </w:p>
    <w:p>
      <w:pPr>
        <w:pStyle w:val="FirstParagraph"/>
      </w:pPr>
      <w:r>
        <w:t xml:space="preserve">The paper should now be written around: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fair comparative benchmark</w:t>
      </w:r>
      <w:r>
        <w:t xml:space="preserve"> </w:t>
      </w:r>
      <w:r>
        <w:t xml:space="preserve">on a difficult 44-class Ottoman handwriting task,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negative-result honesty</w:t>
      </w:r>
      <w:r>
        <w:t xml:space="preserve"> </w:t>
      </w:r>
      <w:r>
        <w:t xml:space="preserve">about where current quantum variants do not win,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narrow current-local low-data competitiveness signal</w:t>
      </w:r>
      <w:r>
        <w:t xml:space="preserve"> </w:t>
      </w:r>
      <w:r>
        <w:t xml:space="preserve">for a non-trainable quantum preprocessing baseline,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engineering insight</w:t>
      </w:r>
      <w:r>
        <w:t xml:space="preserve"> </w:t>
      </w:r>
      <w:r>
        <w:t xml:space="preserve">from the V1--V7 trainable-quantum path,</w:t>
      </w:r>
    </w:p>
    <w:p>
      <w:pPr>
        <w:pStyle w:val="Compact"/>
        <w:numPr>
          <w:ilvl w:val="0"/>
          <w:numId w:val="1005"/>
        </w:numPr>
      </w:pPr>
      <w:r>
        <w:t xml:space="preserve">the distinction between:</w:t>
      </w:r>
    </w:p>
    <w:p>
      <w:pPr>
        <w:pStyle w:val="Compact"/>
        <w:numPr>
          <w:ilvl w:val="1"/>
          <w:numId w:val="1006"/>
        </w:numPr>
      </w:pPr>
      <w:r>
        <w:t xml:space="preserve">thesis-faithful reproductions,</w:t>
      </w:r>
    </w:p>
    <w:p>
      <w:pPr>
        <w:pStyle w:val="Compact"/>
        <w:numPr>
          <w:ilvl w:val="1"/>
          <w:numId w:val="1006"/>
        </w:numPr>
      </w:pPr>
      <w:r>
        <w:t xml:space="preserve">current-local matched-budget ablations,</w:t>
      </w:r>
    </w:p>
    <w:p>
      <w:pPr>
        <w:pStyle w:val="Compact"/>
        <w:numPr>
          <w:ilvl w:val="1"/>
          <w:numId w:val="1006"/>
        </w:numPr>
      </w:pPr>
      <w:r>
        <w:t xml:space="preserve">modern-classical upper bound,</w:t>
      </w:r>
    </w:p>
    <w:p>
      <w:pPr>
        <w:pStyle w:val="Compact"/>
        <w:numPr>
          <w:ilvl w:val="1"/>
          <w:numId w:val="1006"/>
        </w:numPr>
      </w:pPr>
      <w:r>
        <w:t xml:space="preserve">low-data scaling,</w:t>
      </w:r>
    </w:p>
    <w:p>
      <w:pPr>
        <w:pStyle w:val="Compact"/>
        <w:numPr>
          <w:ilvl w:val="1"/>
          <w:numId w:val="1006"/>
        </w:numPr>
      </w:pPr>
      <w:r>
        <w:t xml:space="preserve">documented trainable-quantum case-study.</w:t>
      </w:r>
    </w:p>
    <w:bookmarkEnd w:id="17"/>
    <w:bookmarkStart w:id="18" w:name="Xb4fd20f42179fbd46b0d65c4af121ee1348f742"/>
    <w:p>
      <w:pPr>
        <w:pStyle w:val="Heading2"/>
      </w:pPr>
      <w:r>
        <w:t xml:space="preserve">5. Required Paper Edits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 </w:t>
      </w:r>
      <w:r>
        <w:t xml:space="preserve">now addresses the main rewrite requirements. Before submission, verify that:</w:t>
      </w:r>
    </w:p>
    <w:p>
      <w:pPr>
        <w:pStyle w:val="Compact"/>
        <w:numPr>
          <w:ilvl w:val="0"/>
          <w:numId w:val="1007"/>
        </w:numPr>
      </w:pPr>
      <w:r>
        <w:t xml:space="preserve">the abstract and conclusion still avoid generic quantum-advantage language,</w:t>
      </w:r>
    </w:p>
    <w:p>
      <w:pPr>
        <w:pStyle w:val="Compact"/>
        <w:numPr>
          <w:ilvl w:val="0"/>
          <w:numId w:val="1007"/>
        </w:numPr>
      </w:pPr>
      <w:r>
        <w:t xml:space="preserve">RQ1/RQ2/RQ3 remain aligned with the benchmark snapshot in this document,</w:t>
      </w:r>
    </w:p>
    <w:p>
      <w:pPr>
        <w:pStyle w:val="Compact"/>
        <w:numPr>
          <w:ilvl w:val="0"/>
          <w:numId w:val="1007"/>
        </w:numPr>
      </w:pPr>
      <w:r>
        <w:t xml:space="preserve">V7 is framed as an engineering contribution rather than an accuracy leader,</w:t>
      </w:r>
    </w:p>
    <w:p>
      <w:pPr>
        <w:pStyle w:val="Compact"/>
        <w:numPr>
          <w:ilvl w:val="0"/>
          <w:numId w:val="1007"/>
        </w:numPr>
      </w:pPr>
      <w:r>
        <w:t xml:space="preserve">current-local, thesis-faithful, modern-classical, low-data, and trainable-quantum families are not mixed into one misleading ranking,</w:t>
      </w:r>
    </w:p>
    <w:p>
      <w:pPr>
        <w:pStyle w:val="Compact"/>
        <w:numPr>
          <w:ilvl w:val="0"/>
          <w:numId w:val="1007"/>
        </w:numPr>
      </w:pPr>
      <w:r>
        <w:t xml:space="preserve">low-data language stays limited to the current-local paired comparison unless new artifacts expand the claim.</w:t>
      </w:r>
    </w:p>
    <w:bookmarkEnd w:id="18"/>
    <w:bookmarkStart w:id="19" w:name="X4c7fce1f44e49d70b219ed598d4fe7461c7acd0"/>
    <w:p>
      <w:pPr>
        <w:pStyle w:val="Heading2"/>
      </w:pPr>
      <w:r>
        <w:t xml:space="preserve">6. Remaining High-Value Work</w:t>
      </w:r>
    </w:p>
    <w:p>
      <w:pPr>
        <w:pStyle w:val="FirstParagraph"/>
      </w:pPr>
      <w:r>
        <w:t xml:space="preserve">The most valuable next steps are now:</w:t>
      </w:r>
    </w:p>
    <w:p>
      <w:pPr>
        <w:pStyle w:val="Compact"/>
        <w:numPr>
          <w:ilvl w:val="0"/>
          <w:numId w:val="1008"/>
        </w:numPr>
      </w:pPr>
      <w:r>
        <w:t xml:space="preserve">keep the reconstructed April 2026 V7 JSON rows clearly labeled and recover copied remote</w:t>
      </w:r>
      <w:r>
        <w:t xml:space="preserve"> </w:t>
      </w:r>
      <w:r>
        <w:rPr>
          <w:rStyle w:val="VerbatimChar"/>
        </w:rPr>
        <w:t xml:space="preserve">experiments/v7_*</w:t>
      </w:r>
      <w:r>
        <w:t xml:space="preserve"> </w:t>
      </w:r>
      <w:r>
        <w:t xml:space="preserve">metadata only if it is still available; the April 27 Drive folder currently contains checkpoints but an empty</w:t>
      </w:r>
      <w:r>
        <w:t xml:space="preserve"> </w:t>
      </w:r>
      <w:r>
        <w:rPr>
          <w:rStyle w:val="VerbatimChar"/>
        </w:rPr>
        <w:t xml:space="preserve">experiments/</w:t>
      </w:r>
      <w:r>
        <w:t xml:space="preserve"> </w:t>
      </w:r>
      <w:r>
        <w:t xml:space="preserve">subfolder,</w:t>
      </w:r>
    </w:p>
    <w:p>
      <w:pPr>
        <w:pStyle w:val="Compact"/>
        <w:numPr>
          <w:ilvl w:val="0"/>
          <w:numId w:val="1008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paper/draft.md</w:t>
      </w:r>
      <w:r>
        <w:t xml:space="preserve">, this claim set, and Word exports synchronized after any result-language change,</w:t>
      </w:r>
    </w:p>
    <w:p>
      <w:pPr>
        <w:pStyle w:val="Compact"/>
        <w:numPr>
          <w:ilvl w:val="0"/>
          <w:numId w:val="1008"/>
        </w:numPr>
      </w:pPr>
      <w:r>
        <w:t xml:space="preserve">add confidence intervals or formal significance tests if the target venue or reviewers are expected to push on variance,</w:t>
      </w:r>
    </w:p>
    <w:p>
      <w:pPr>
        <w:pStyle w:val="Compact"/>
        <w:numPr>
          <w:ilvl w:val="0"/>
          <w:numId w:val="1008"/>
        </w:numPr>
      </w:pPr>
      <w:r>
        <w:t xml:space="preserve">test whether the current-local low-data signal transfers to a second dataset, robustness axis, or alternative matched-budget classical controls if aiming above a specialized/Q2 route,</w:t>
      </w:r>
    </w:p>
    <w:p>
      <w:pPr>
        <w:pStyle w:val="Compact"/>
        <w:numPr>
          <w:ilvl w:val="0"/>
          <w:numId w:val="1008"/>
        </w:numPr>
      </w:pPr>
      <w:r>
        <w:t xml:space="preserve">use Colab only for a paper-impactful extension, not for V7 artifact hygiene or already-completed low-data rows.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2026-05-16T20:45:48Z</dcterms:created>
  <dcterms:modified xsi:type="dcterms:W3CDTF">2026-05-16T20:45:48Z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