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publication-strategy"/>
    <w:p>
      <w:pPr>
        <w:pStyle w:val="Heading1"/>
      </w:pPr>
      <w:r>
        <w:t xml:space="preserve">Publication Strategy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March 22, 2026</w:t>
      </w:r>
    </w:p>
    <w:p>
      <w:pPr>
        <w:pStyle w:val="BodyText"/>
      </w:pPr>
      <w:r>
        <w:t xml:space="preserve">This document records the realistic publication status of the study and the strategy required to turn it into a publishable paper.</w:t>
      </w:r>
    </w:p>
    <w:p>
      <w:pPr>
        <w:pStyle w:val="BodyText"/>
      </w:pPr>
      <w:r>
        <w:t xml:space="preserve">Operational benchmark tracking now lives alongside this strategy in: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docs/BENCHMARK_MATRIX_2026-03-22.md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docs/BENCHMARK_SUMMARY.md</w:t>
      </w:r>
    </w:p>
    <w:bookmarkStart w:id="9" w:name="X31893bf2cdcebb06e1144fa14e90ce0aa779857"/>
    <w:p>
      <w:pPr>
        <w:pStyle w:val="Heading2"/>
      </w:pPr>
      <w:r>
        <w:t xml:space="preserve">1. Short Verdict</w:t>
      </w:r>
    </w:p>
    <w:p>
      <w:pPr>
        <w:pStyle w:val="FirstParagraph"/>
      </w:pPr>
      <w:r>
        <w:t xml:space="preserve">As the repository stands today, this work is</w:t>
      </w:r>
      <w:r>
        <w:t xml:space="preserve"> </w:t>
      </w:r>
      <w:r>
        <w:rPr>
          <w:b/>
          <w:bCs/>
        </w:rPr>
        <w:t xml:space="preserve">not yet strong enough for a broad-scope Q1 AI or computer vision journal</w:t>
      </w:r>
      <w:r>
        <w:t xml:space="preserve">.</w:t>
      </w:r>
    </w:p>
    <w:p>
      <w:pPr>
        <w:pStyle w:val="BodyText"/>
      </w:pPr>
      <w:r>
        <w:t xml:space="preserve">It is still</w:t>
      </w:r>
      <w:r>
        <w:t xml:space="preserve"> </w:t>
      </w:r>
      <w:r>
        <w:rPr>
          <w:b/>
          <w:bCs/>
        </w:rPr>
        <w:t xml:space="preserve">worth publishing</w:t>
      </w:r>
      <w:r>
        <w:t xml:space="preserve">, but not in its current narrative form. The publishable value is in the benchmark discipline, negative-result honesty, hybrid-QML engineering lessons, and thesis-to-reproducible-study evolution, not in an unsupported raw "quantum wins" story.</w:t>
      </w:r>
    </w:p>
    <w:p>
      <w:pPr>
        <w:pStyle w:val="BodyText"/>
      </w:pPr>
      <w:r>
        <w:t xml:space="preserve">It is</w:t>
      </w:r>
      <w:r>
        <w:t xml:space="preserve"> </w:t>
      </w:r>
      <w:r>
        <w:rPr>
          <w:b/>
          <w:bCs/>
        </w:rPr>
        <w:t xml:space="preserve">potentially publishable</w:t>
      </w:r>
      <w:r>
        <w:t xml:space="preserve"> </w:t>
      </w:r>
      <w:r>
        <w:t xml:space="preserve">in one of two ways:</w:t>
      </w:r>
    </w:p>
    <w:p>
      <w:pPr>
        <w:pStyle w:val="Compact"/>
        <w:numPr>
          <w:ilvl w:val="0"/>
          <w:numId w:val="1002"/>
        </w:numPr>
      </w:pPr>
      <w:r>
        <w:t xml:space="preserve">as a</w:t>
      </w:r>
      <w:r>
        <w:t xml:space="preserve"> </w:t>
      </w:r>
      <w:r>
        <w:rPr>
          <w:b/>
          <w:bCs/>
        </w:rPr>
        <w:t xml:space="preserve">specialized QML paper</w:t>
      </w:r>
      <w:r>
        <w:t xml:space="preserve"> </w:t>
      </w:r>
      <w:r>
        <w:t xml:space="preserve">centered on rigorous failure analysis, fair benchmarking, and engineering lessons for hybrid quantum-classical training, or</w:t>
      </w:r>
    </w:p>
    <w:p>
      <w:pPr>
        <w:pStyle w:val="Compact"/>
        <w:numPr>
          <w:ilvl w:val="0"/>
          <w:numId w:val="1002"/>
        </w:numPr>
      </w:pPr>
      <w:r>
        <w:t xml:space="preserve">as an</w:t>
      </w:r>
      <w:r>
        <w:t xml:space="preserve"> </w:t>
      </w:r>
      <w:r>
        <w:rPr>
          <w:b/>
          <w:bCs/>
        </w:rPr>
        <w:t xml:space="preserve">applied OCR / cultural-heritage computing paper</w:t>
      </w:r>
      <w:r>
        <w:t xml:space="preserve"> </w:t>
      </w:r>
      <w:r>
        <w:t xml:space="preserve">if the Ottoman character recognition contribution is strengthened and the quantum claim is made more modest and honest.</w:t>
      </w:r>
    </w:p>
    <w:p>
      <w:pPr>
        <w:pStyle w:val="FirstParagraph"/>
      </w:pPr>
      <w:r>
        <w:t xml:space="preserve">The current repository evidence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support a strong "quantum advantage" claim.</w:t>
      </w:r>
    </w:p>
    <w:bookmarkEnd w:id="9"/>
    <w:bookmarkStart w:id="15" w:name="Xb505b1c2a32c041ece610d2d193e9773be472f4"/>
    <w:p>
      <w:pPr>
        <w:pStyle w:val="Heading2"/>
      </w:pPr>
      <w:r>
        <w:t xml:space="preserve">2. Why The Current Paper Is Not Q1-Ready</w:t>
      </w:r>
    </w:p>
    <w:bookmarkStart w:id="10" w:name="Xa4f5e93ab8c83bb73ccaa7a636d5d620ed0e4e3"/>
    <w:p>
      <w:pPr>
        <w:pStyle w:val="Heading3"/>
      </w:pPr>
      <w:r>
        <w:t xml:space="preserve">2.1 The strongest current result is not quantum</w:t>
      </w:r>
    </w:p>
    <w:p>
      <w:pPr>
        <w:pStyle w:val="FirstParagraph"/>
      </w:pPr>
      <w:r>
        <w:t xml:space="preserve">Current repository evidence after the unified</w:t>
      </w:r>
      <w:r>
        <w:t xml:space="preserve"> </w:t>
      </w:r>
      <w:r>
        <w:rPr>
          <w:rStyle w:val="VerbatimChar"/>
        </w:rPr>
        <w:t xml:space="preserve">publication_v1</w:t>
      </w:r>
      <w:r>
        <w:t xml:space="preserve"> </w:t>
      </w:r>
      <w:r>
        <w:t xml:space="preserve">benchmark pass: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Test Accuracy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thesis_cnniiii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85.26 ± 0.97</w:t>
            </w:r>
          </w:p>
        </w:tc>
        <w:tc>
          <w:tcPr/>
          <w:p>
            <w:pPr>
              <w:pStyle w:val="Compact"/>
            </w:pPr>
            <w:r>
              <w:t xml:space="preserve">strongest thesis-faithful reproduction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classical_conv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81.40 ± 1.06</w:t>
            </w:r>
          </w:p>
        </w:tc>
        <w:tc>
          <w:tcPr/>
          <w:p>
            <w:pPr>
              <w:pStyle w:val="Compact"/>
            </w:pPr>
            <w:r>
              <w:t xml:space="preserve">strongest current-local matched-budget model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param_linear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81.12 ± 2.27</w:t>
            </w:r>
          </w:p>
        </w:tc>
        <w:tc>
          <w:tcPr/>
          <w:p>
            <w:pPr>
              <w:pStyle w:val="Compact"/>
            </w:pPr>
            <w:r>
              <w:t xml:space="preserve">strong matched classical replacement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non_trainable_quantum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80.40 ± 0.69</w:t>
            </w:r>
          </w:p>
        </w:tc>
        <w:tc>
          <w:tcPr/>
          <w:p>
            <w:pPr>
              <w:pStyle w:val="Compact"/>
            </w:pPr>
            <w:r>
              <w:t xml:space="preserve">current-local Henderson-style non-trainable quantum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thesis_cnn3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79.33 ± 1.26</w:t>
            </w:r>
          </w:p>
        </w:tc>
        <w:tc>
          <w:tcPr/>
          <w:p>
            <w:pPr>
              <w:pStyle w:val="Compact"/>
            </w:pPr>
            <w:r>
              <w:t xml:space="preserve">thesis-faithful classical pairwise reference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thesis_hqnn2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78.61 ± 0.69</w:t>
            </w:r>
          </w:p>
        </w:tc>
        <w:tc>
          <w:tcPr/>
          <w:p>
            <w:pPr>
              <w:pStyle w:val="Compact"/>
            </w:pPr>
            <w:r>
              <w:t xml:space="preserve">best thesis-faithful quantum reproduction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V7 trainable quantum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65.02%</w:t>
            </w:r>
          </w:p>
        </w:tc>
        <w:tc>
          <w:tcPr/>
          <w:p>
            <w:pPr>
              <w:pStyle w:val="Compact"/>
            </w:pPr>
            <w:r>
              <w:t xml:space="preserve">documented stabilized trainable result</w:t>
            </w:r>
          </w:p>
        </w:tc>
      </w:tr>
    </w:tbl>
    <w:p>
      <w:pPr>
        <w:pStyle w:val="BodyText"/>
      </w:pPr>
      <w:r>
        <w:t xml:space="preserve">This means the present paper cannot credibly argue that the trainable or non-trainable quantum path outperforms matched classical baselines.</w:t>
      </w:r>
    </w:p>
    <w:bookmarkEnd w:id="10"/>
    <w:bookmarkStart w:id="11" w:name="X2cb03ca0bb7e50c0ce57e820296dfa10f4727e1"/>
    <w:p>
      <w:pPr>
        <w:pStyle w:val="Heading3"/>
      </w:pPr>
      <w:r>
        <w:t xml:space="preserve">2.2 The current draft over-focuses on V7 versus an old weak baseline</w:t>
      </w:r>
    </w:p>
    <w:p>
      <w:pPr>
        <w:pStyle w:val="FirstParagraph"/>
      </w:pPr>
      <w:r>
        <w:t xml:space="preserve">The paper draft currently frames V7 primarily against V4 and historical failures. That is scientifically incomplete because newer local ablations are stronger than both V4 and V7 on test accuracy.</w:t>
      </w:r>
    </w:p>
    <w:bookmarkEnd w:id="11"/>
    <w:bookmarkStart w:id="12" w:name="Xa1d5313cfb9fd3755caf906e1adab7450b51345"/>
    <w:p>
      <w:pPr>
        <w:pStyle w:val="Heading3"/>
      </w:pPr>
      <w:r>
        <w:t xml:space="preserve">2.3 The benchmark scope is too narrow for a broad Q1 claim</w:t>
      </w:r>
    </w:p>
    <w:p>
      <w:pPr>
        <w:pStyle w:val="FirstParagraph"/>
      </w:pPr>
      <w:r>
        <w:t xml:space="preserve">The study currently relies on a single small task:</w:t>
      </w:r>
    </w:p>
    <w:p>
      <w:pPr>
        <w:pStyle w:val="Compact"/>
        <w:numPr>
          <w:ilvl w:val="0"/>
          <w:numId w:val="1003"/>
        </w:numPr>
      </w:pPr>
      <w:r>
        <w:t xml:space="preserve">44-class Ottoman-Turkish handwritten character recognition</w:t>
      </w:r>
    </w:p>
    <w:p>
      <w:pPr>
        <w:pStyle w:val="Compact"/>
        <w:numPr>
          <w:ilvl w:val="0"/>
          <w:numId w:val="1003"/>
        </w:numPr>
      </w:pPr>
      <w:r>
        <w:t xml:space="preserve">3,894 total samples</w:t>
      </w:r>
    </w:p>
    <w:p>
      <w:pPr>
        <w:pStyle w:val="Compact"/>
        <w:numPr>
          <w:ilvl w:val="0"/>
          <w:numId w:val="1003"/>
        </w:numPr>
      </w:pPr>
      <w:r>
        <w:t xml:space="preserve">one main dataset split</w:t>
      </w:r>
    </w:p>
    <w:p>
      <w:pPr>
        <w:pStyle w:val="FirstParagraph"/>
      </w:pPr>
      <w:r>
        <w:t xml:space="preserve">That is interesting and publishable in a niche or domain-aware venue, but it is not enough by itself for a strong general claim about quanvolutional models.</w:t>
      </w:r>
    </w:p>
    <w:bookmarkEnd w:id="12"/>
    <w:bookmarkStart w:id="13" w:name="Xe15578223bfe11a3255afdc5abb9c632af20080"/>
    <w:p>
      <w:pPr>
        <w:pStyle w:val="Heading3"/>
      </w:pPr>
      <w:r>
        <w:t xml:space="preserve">2.4 Statistical rigor is still below top-tier expectations</w:t>
      </w:r>
    </w:p>
    <w:p>
      <w:pPr>
        <w:pStyle w:val="FirstParagraph"/>
      </w:pPr>
      <w:r>
        <w:t xml:space="preserve">Still missing or incomplete elements include:</w:t>
      </w:r>
    </w:p>
    <w:p>
      <w:pPr>
        <w:pStyle w:val="Compact"/>
        <w:numPr>
          <w:ilvl w:val="0"/>
          <w:numId w:val="1004"/>
        </w:numPr>
      </w:pPr>
      <w:r>
        <w:t xml:space="preserve">confidence intervals or significance tests</w:t>
      </w:r>
    </w:p>
    <w:p>
      <w:pPr>
        <w:pStyle w:val="Compact"/>
        <w:numPr>
          <w:ilvl w:val="0"/>
          <w:numId w:val="1004"/>
        </w:numPr>
      </w:pPr>
      <w:r>
        <w:t xml:space="preserve">stronger modern classical baselines</w:t>
      </w:r>
    </w:p>
    <w:p>
      <w:pPr>
        <w:pStyle w:val="Compact"/>
        <w:numPr>
          <w:ilvl w:val="0"/>
          <w:numId w:val="1004"/>
        </w:numPr>
      </w:pPr>
      <w:r>
        <w:t xml:space="preserve">a clearly defined evaluation framework for any "practical quantum advantage" claim</w:t>
      </w:r>
    </w:p>
    <w:p>
      <w:pPr>
        <w:pStyle w:val="Compact"/>
        <w:numPr>
          <w:ilvl w:val="0"/>
          <w:numId w:val="1004"/>
        </w:numPr>
      </w:pPr>
      <w:r>
        <w:t xml:space="preserve">a fresh artifact-backed rerun for the trainable V7 path if that result is to remain central in the paper</w:t>
      </w:r>
    </w:p>
    <w:bookmarkEnd w:id="13"/>
    <w:bookmarkStart w:id="14" w:name="Xeb7e0c15552cea8e027dc17ea4c46533f6a8d74"/>
    <w:p>
      <w:pPr>
        <w:pStyle w:val="Heading3"/>
      </w:pPr>
      <w:r>
        <w:t xml:space="preserve">2.5 There is no hardware or computational advantage argument yet</w:t>
      </w:r>
    </w:p>
    <w:p>
      <w:pPr>
        <w:pStyle w:val="FirstParagraph"/>
      </w:pPr>
      <w:r>
        <w:t xml:space="preserve">The experiments are simulator-centric. That is acceptable for research, but it weakens any claim that the quantum component is practically useful unless the paper demonstrates one of the following:</w:t>
      </w:r>
    </w:p>
    <w:p>
      <w:pPr>
        <w:pStyle w:val="Compact"/>
        <w:numPr>
          <w:ilvl w:val="0"/>
          <w:numId w:val="1005"/>
        </w:numPr>
      </w:pPr>
      <w:r>
        <w:t xml:space="preserve">better accuracy in a well-defined regime</w:t>
      </w:r>
    </w:p>
    <w:p>
      <w:pPr>
        <w:pStyle w:val="Compact"/>
        <w:numPr>
          <w:ilvl w:val="0"/>
          <w:numId w:val="1005"/>
        </w:numPr>
      </w:pPr>
      <w:r>
        <w:t xml:space="preserve">better parameter efficiency</w:t>
      </w:r>
    </w:p>
    <w:p>
      <w:pPr>
        <w:pStyle w:val="Compact"/>
        <w:numPr>
          <w:ilvl w:val="0"/>
          <w:numId w:val="1005"/>
        </w:numPr>
      </w:pPr>
      <w:r>
        <w:t xml:space="preserve">better low-data behavior</w:t>
      </w:r>
    </w:p>
    <w:p>
      <w:pPr>
        <w:pStyle w:val="Compact"/>
        <w:numPr>
          <w:ilvl w:val="0"/>
          <w:numId w:val="1005"/>
        </w:numPr>
      </w:pPr>
      <w:r>
        <w:t xml:space="preserve">better robustness</w:t>
      </w:r>
    </w:p>
    <w:p>
      <w:pPr>
        <w:pStyle w:val="Compact"/>
        <w:numPr>
          <w:ilvl w:val="0"/>
          <w:numId w:val="1005"/>
        </w:numPr>
      </w:pPr>
      <w:r>
        <w:t xml:space="preserve">a concrete resource tradeoff that remains favorable</w:t>
      </w:r>
    </w:p>
    <w:p>
      <w:pPr>
        <w:pStyle w:val="FirstParagraph"/>
      </w:pPr>
      <w:r>
        <w:t xml:space="preserve">At the moment, that case is not established.</w:t>
      </w:r>
    </w:p>
    <w:bookmarkEnd w:id="14"/>
    <w:bookmarkEnd w:id="15"/>
    <w:bookmarkStart w:id="18" w:name="X968d00c85b247f0500bb1d3d6cf6365ff39e368"/>
    <w:p>
      <w:pPr>
        <w:pStyle w:val="Heading2"/>
      </w:pPr>
      <w:r>
        <w:t xml:space="preserve">3. What Could Still Be Publishable</w:t>
      </w:r>
    </w:p>
    <w:bookmarkStart w:id="16" w:name="route-a-qml-insight-paper"/>
    <w:p>
      <w:pPr>
        <w:pStyle w:val="Heading3"/>
      </w:pPr>
      <w:r>
        <w:t xml:space="preserve">Route A: QML Insight Paper</w:t>
      </w:r>
    </w:p>
    <w:p>
      <w:pPr>
        <w:pStyle w:val="FirstParagraph"/>
      </w:pPr>
      <w:r>
        <w:t xml:space="preserve">This is the strongest scientific route if the paper is reframed honestly.</w:t>
      </w:r>
    </w:p>
    <w:p>
      <w:pPr>
        <w:pStyle w:val="BodyText"/>
      </w:pPr>
      <w:r>
        <w:t xml:space="preserve">Core angle:</w:t>
      </w:r>
    </w:p>
    <w:p>
      <w:pPr>
        <w:pStyle w:val="Compact"/>
        <w:numPr>
          <w:ilvl w:val="0"/>
          <w:numId w:val="1006"/>
        </w:numPr>
      </w:pPr>
      <w:r>
        <w:t xml:space="preserve">hybrid QML failure analysis on a real 44-class task</w:t>
      </w:r>
    </w:p>
    <w:p>
      <w:pPr>
        <w:pStyle w:val="Compact"/>
        <w:numPr>
          <w:ilvl w:val="0"/>
          <w:numId w:val="1006"/>
        </w:numPr>
      </w:pPr>
      <w:r>
        <w:t xml:space="preserve">fair classical-vs-quantum benchmarking</w:t>
      </w:r>
    </w:p>
    <w:p>
      <w:pPr>
        <w:pStyle w:val="Compact"/>
        <w:numPr>
          <w:ilvl w:val="0"/>
          <w:numId w:val="1006"/>
        </w:numPr>
      </w:pPr>
      <w:r>
        <w:t xml:space="preserve">documented engineering lessons:</w:t>
      </w:r>
    </w:p>
    <w:p>
      <w:pPr>
        <w:pStyle w:val="Compact"/>
        <w:numPr>
          <w:ilvl w:val="1"/>
          <w:numId w:val="1007"/>
        </w:numPr>
      </w:pPr>
      <w:r>
        <w:t xml:space="preserve">information bottleneck threshold</w:t>
      </w:r>
    </w:p>
    <w:p>
      <w:pPr>
        <w:pStyle w:val="Compact"/>
        <w:numPr>
          <w:ilvl w:val="1"/>
          <w:numId w:val="1007"/>
        </w:numPr>
      </w:pPr>
      <w:r>
        <w:t xml:space="preserve">gradient collapse</w:t>
      </w:r>
    </w:p>
    <w:p>
      <w:pPr>
        <w:pStyle w:val="Compact"/>
        <w:numPr>
          <w:ilvl w:val="1"/>
          <w:numId w:val="1007"/>
        </w:numPr>
      </w:pPr>
      <w:r>
        <w:t xml:space="preserve">AMP / float16 incompatibility at the quantum boundary</w:t>
      </w:r>
    </w:p>
    <w:p>
      <w:pPr>
        <w:pStyle w:val="Compact"/>
        <w:numPr>
          <w:ilvl w:val="1"/>
          <w:numId w:val="1007"/>
        </w:numPr>
      </w:pPr>
      <w:r>
        <w:t xml:space="preserve">trainable vs non-trainable vs matched classical replacements</w:t>
      </w:r>
    </w:p>
    <w:p>
      <w:pPr>
        <w:pStyle w:val="FirstParagraph"/>
      </w:pPr>
      <w:r>
        <w:t xml:space="preserve">This route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require proving quantum superiority. It requires proving that the study contributes trustworthy evidence and useful design rules for QML practitioners.</w:t>
      </w:r>
    </w:p>
    <w:bookmarkEnd w:id="16"/>
    <w:bookmarkStart w:id="17" w:name="X1a64850b8daa57c512fb4d4bbeaf5ef879a9bb4"/>
    <w:p>
      <w:pPr>
        <w:pStyle w:val="Heading3"/>
      </w:pPr>
      <w:r>
        <w:t xml:space="preserve">Route B: Applied OCR / Cultural Heritage Paper</w:t>
      </w:r>
    </w:p>
    <w:p>
      <w:pPr>
        <w:pStyle w:val="FirstParagraph"/>
      </w:pPr>
      <w:r>
        <w:t xml:space="preserve">This route is more application-driven.</w:t>
      </w:r>
    </w:p>
    <w:p>
      <w:pPr>
        <w:pStyle w:val="BodyText"/>
      </w:pPr>
      <w:r>
        <w:t xml:space="preserve">Core angle:</w:t>
      </w:r>
    </w:p>
    <w:p>
      <w:pPr>
        <w:pStyle w:val="Compact"/>
        <w:numPr>
          <w:ilvl w:val="0"/>
          <w:numId w:val="1008"/>
        </w:numPr>
      </w:pPr>
      <w:r>
        <w:t xml:space="preserve">Ottoman handwritten character recognition benchmark</w:t>
      </w:r>
    </w:p>
    <w:p>
      <w:pPr>
        <w:pStyle w:val="Compact"/>
        <w:numPr>
          <w:ilvl w:val="0"/>
          <w:numId w:val="1008"/>
        </w:numPr>
      </w:pPr>
      <w:r>
        <w:t xml:space="preserve">thesis-to-research evolution with stronger baselines and reproducible experiments</w:t>
      </w:r>
    </w:p>
    <w:p>
      <w:pPr>
        <w:pStyle w:val="Compact"/>
        <w:numPr>
          <w:ilvl w:val="0"/>
          <w:numId w:val="1008"/>
        </w:numPr>
      </w:pPr>
      <w:r>
        <w:t xml:space="preserve">quantum methods as a tested hypothesis rather than a guaranteed improvement</w:t>
      </w:r>
    </w:p>
    <w:p>
      <w:pPr>
        <w:pStyle w:val="FirstParagraph"/>
      </w:pPr>
      <w:r>
        <w:t xml:space="preserve">For this route to work, the paper must emphasize:</w:t>
      </w:r>
    </w:p>
    <w:p>
      <w:pPr>
        <w:pStyle w:val="Compact"/>
        <w:numPr>
          <w:ilvl w:val="0"/>
          <w:numId w:val="1009"/>
        </w:numPr>
      </w:pPr>
      <w:r>
        <w:t xml:space="preserve">the OCR task and dataset value</w:t>
      </w:r>
    </w:p>
    <w:p>
      <w:pPr>
        <w:pStyle w:val="Compact"/>
        <w:numPr>
          <w:ilvl w:val="0"/>
          <w:numId w:val="1009"/>
        </w:numPr>
      </w:pPr>
      <w:r>
        <w:t xml:space="preserve">the benchmark contribution</w:t>
      </w:r>
    </w:p>
    <w:p>
      <w:pPr>
        <w:pStyle w:val="Compact"/>
        <w:numPr>
          <w:ilvl w:val="0"/>
          <w:numId w:val="1009"/>
        </w:numPr>
      </w:pPr>
      <w:r>
        <w:t xml:space="preserve">what quantum methods do and do not help with</w:t>
      </w:r>
    </w:p>
    <w:bookmarkEnd w:id="17"/>
    <w:bookmarkEnd w:id="18"/>
    <w:bookmarkStart w:id="23" w:name="X12e3aaeb9859513e4a7c476401ca673697ad6ef"/>
    <w:p>
      <w:pPr>
        <w:pStyle w:val="Heading2"/>
      </w:pPr>
      <w:r>
        <w:t xml:space="preserve">4. Realistic Venue Logic</w:t>
      </w:r>
    </w:p>
    <w:p>
      <w:pPr>
        <w:pStyle w:val="FirstParagraph"/>
      </w:pPr>
      <w:r>
        <w:t xml:space="preserve">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treat venue choice as fixed before the evidence is fixed.</w:t>
      </w:r>
    </w:p>
    <w:bookmarkStart w:id="19" w:name="broad-q1-ai--ml-application-journals"/>
    <w:p>
      <w:pPr>
        <w:pStyle w:val="Heading3"/>
      </w:pPr>
      <w:r>
        <w:t xml:space="preserve">Broad Q1 AI / ML application journals</w:t>
      </w:r>
    </w:p>
    <w:p>
      <w:pPr>
        <w:pStyle w:val="FirstParagraph"/>
      </w:pPr>
      <w:r>
        <w:t xml:space="preserve">These typically expect strong novelty, convincing benchmarking, and clear practical value. For example:</w:t>
      </w:r>
    </w:p>
    <w:p>
      <w:pPr>
        <w:pStyle w:val="Compact"/>
        <w:numPr>
          <w:ilvl w:val="0"/>
          <w:numId w:val="1010"/>
        </w:numPr>
      </w:pPr>
      <w:r>
        <w:t xml:space="preserve">Expert Systems with Applications emphasizes original papers on the design, development, testing, implementation, and management of intelligent systems, and explicitly discourages superficial novelty claims or renaming existing ideas.</w:t>
      </w:r>
    </w:p>
    <w:p>
      <w:pPr>
        <w:pStyle w:val="Compact"/>
        <w:numPr>
          <w:ilvl w:val="0"/>
          <w:numId w:val="1010"/>
        </w:numPr>
      </w:pPr>
      <w:r>
        <w:t xml:space="preserve">Machine Learning with Applications emphasizes novelty, technical soundness, practical value, and effectiveness for important problems.</w:t>
      </w:r>
    </w:p>
    <w:p>
      <w:pPr>
        <w:pStyle w:val="FirstParagraph"/>
      </w:pPr>
      <w:r>
        <w:t xml:space="preserve">For this study, a broad Q1 application venue becomes realistic only if the benchmark and evaluation package are substantially strengthened.</w:t>
      </w:r>
    </w:p>
    <w:bookmarkEnd w:id="19"/>
    <w:bookmarkStart w:id="20" w:name="specialized-qml-venues"/>
    <w:p>
      <w:pPr>
        <w:pStyle w:val="Heading3"/>
      </w:pPr>
      <w:r>
        <w:t xml:space="preserve">Specialized QML venues</w:t>
      </w:r>
    </w:p>
    <w:p>
      <w:pPr>
        <w:pStyle w:val="FirstParagraph"/>
      </w:pPr>
      <w:r>
        <w:t xml:space="preserve">A specialized QML venue may be more realistic if the paper is reframed around trustworthy evidence rather than raw accuracy claims.</w:t>
      </w:r>
    </w:p>
    <w:p>
      <w:pPr>
        <w:pStyle w:val="BodyText"/>
      </w:pPr>
      <w:r>
        <w:t xml:space="preserve">Notably, Quantum Machine Intelligence has published work that explicitly states 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making strong performance claims against classical ML and instead argues for limited, well-defined investigations that provide useful qualitative insights. That is much closer to the current strength of this repository.</w:t>
      </w:r>
    </w:p>
    <w:bookmarkEnd w:id="20"/>
    <w:bookmarkStart w:id="21" w:name="cultural-heritage-computing-venues"/>
    <w:p>
      <w:pPr>
        <w:pStyle w:val="Heading3"/>
      </w:pPr>
      <w:r>
        <w:t xml:space="preserve">Cultural heritage computing venues</w:t>
      </w:r>
    </w:p>
    <w:p>
      <w:pPr>
        <w:pStyle w:val="FirstParagraph"/>
      </w:pPr>
      <w:r>
        <w:t xml:space="preserve">The cultural-heritage route is plausible if the contribution is framed as ICT for heritage study and preservation rather than as a frontier-QML victory claim. ACM's Journal on Computing and Cultural Heritage describes its scope broadly as ICT in support of cultural heritage management, presentation, and study.</w:t>
      </w:r>
    </w:p>
    <w:bookmarkEnd w:id="21"/>
    <w:bookmarkStart w:id="22" w:name="quartile-caution"/>
    <w:p>
      <w:pPr>
        <w:pStyle w:val="Heading3"/>
      </w:pPr>
      <w:r>
        <w:t xml:space="preserve">Quartile caution</w:t>
      </w:r>
    </w:p>
    <w:p>
      <w:pPr>
        <w:pStyle w:val="FirstParagraph"/>
      </w:pPr>
      <w:r>
        <w:t xml:space="preserve">Journal quartiles can vary by indexing service and subject category. Re-check Scopus / SCImago / JCR status immediately before submission.</w:t>
      </w:r>
    </w:p>
    <w:bookmarkEnd w:id="22"/>
    <w:bookmarkEnd w:id="23"/>
    <w:bookmarkStart w:id="26" w:name="X7c91deee1814a2ffde395046e3be2305685d31d"/>
    <w:p>
      <w:pPr>
        <w:pStyle w:val="Heading2"/>
      </w:pPr>
      <w:r>
        <w:t xml:space="preserve">5. Recommended Publication Target By Current Evidence</w:t>
      </w:r>
    </w:p>
    <w:bookmarkStart w:id="24" w:name="X74382e48d506fda852fc8c02476223b87682dab"/>
    <w:p>
      <w:pPr>
        <w:pStyle w:val="Heading3"/>
      </w:pPr>
      <w:r>
        <w:t xml:space="preserve">Current best target: Q2 or specialized QML route</w:t>
      </w:r>
    </w:p>
    <w:p>
      <w:pPr>
        <w:pStyle w:val="FirstParagraph"/>
      </w:pPr>
      <w:r>
        <w:t xml:space="preserve">If we submit soon with only moderate additional work, the most realistic route is:</w:t>
      </w:r>
    </w:p>
    <w:p>
      <w:pPr>
        <w:pStyle w:val="Compact"/>
        <w:numPr>
          <w:ilvl w:val="0"/>
          <w:numId w:val="1011"/>
        </w:numPr>
      </w:pPr>
      <w:r>
        <w:t xml:space="preserve">a specialized QML journal or</w:t>
      </w:r>
    </w:p>
    <w:p>
      <w:pPr>
        <w:pStyle w:val="Compact"/>
        <w:numPr>
          <w:ilvl w:val="0"/>
          <w:numId w:val="1011"/>
        </w:numPr>
      </w:pPr>
      <w:r>
        <w:t xml:space="preserve">an applied ML / cultural-heritage venue where the main value is the benchmark and the honest comparison</w:t>
      </w:r>
    </w:p>
    <w:bookmarkEnd w:id="24"/>
    <w:bookmarkStart w:id="25" w:name="possible-q1-route"/>
    <w:p>
      <w:pPr>
        <w:pStyle w:val="Heading3"/>
      </w:pPr>
      <w:r>
        <w:t xml:space="preserve">Possible Q1 route</w:t>
      </w:r>
    </w:p>
    <w:p>
      <w:pPr>
        <w:pStyle w:val="FirstParagraph"/>
      </w:pPr>
      <w:r>
        <w:t xml:space="preserve">A Q1 route is still possible, but only after the paper changes from:</w:t>
      </w:r>
    </w:p>
    <w:p>
      <w:pPr>
        <w:pStyle w:val="Compact"/>
        <w:numPr>
          <w:ilvl w:val="0"/>
          <w:numId w:val="1012"/>
        </w:numPr>
      </w:pPr>
      <w:r>
        <w:t xml:space="preserve">"we built a quantum OCR model"</w:t>
      </w:r>
    </w:p>
    <w:p>
      <w:pPr>
        <w:pStyle w:val="FirstParagraph"/>
      </w:pPr>
      <w:r>
        <w:t xml:space="preserve">to:</w:t>
      </w:r>
    </w:p>
    <w:p>
      <w:pPr>
        <w:pStyle w:val="Compact"/>
        <w:numPr>
          <w:ilvl w:val="0"/>
          <w:numId w:val="1013"/>
        </w:numPr>
      </w:pPr>
      <w:r>
        <w:t xml:space="preserve">"we provide a rigorous and reproducible benchmark of trainable and non-trainable quanvolution on a difficult 44-class handwriting problem, identify when and why the quantum component fails, and define the narrow regimes where it remains competitive or useful"</w:t>
      </w:r>
    </w:p>
    <w:p>
      <w:pPr>
        <w:pStyle w:val="FirstParagraph"/>
      </w:pPr>
      <w:r>
        <w:t xml:space="preserve">That requires more evidence than is currently present.</w:t>
      </w:r>
    </w:p>
    <w:bookmarkEnd w:id="25"/>
    <w:bookmarkEnd w:id="26"/>
    <w:bookmarkStart w:id="33" w:name="X9b24150018df4c60c5c9bfb036c1d156f867858"/>
    <w:p>
      <w:pPr>
        <w:pStyle w:val="Heading2"/>
      </w:pPr>
      <w:r>
        <w:t xml:space="preserve">6. Concrete Gap List Before Submission</w:t>
      </w:r>
    </w:p>
    <w:p>
      <w:pPr>
        <w:pStyle w:val="FirstParagraph"/>
      </w:pPr>
      <w:r>
        <w:t xml:space="preserve">The following are the highest-priority missing pieces.</w:t>
      </w:r>
    </w:p>
    <w:bookmarkStart w:id="27" w:name="X70f77c8a2b270ae236bcf8c412cd81ee592c49e"/>
    <w:p>
      <w:pPr>
        <w:pStyle w:val="Heading3"/>
      </w:pPr>
      <w:r>
        <w:t xml:space="preserve">6.1 Synchronize the scientific claim</w:t>
      </w:r>
    </w:p>
    <w:p>
      <w:pPr>
        <w:pStyle w:val="FirstParagraph"/>
      </w:pPr>
      <w:r>
        <w:t xml:space="preserve">The paper, README, thesis comparisons, and experiment logs must all reflect the same current truth:</w:t>
      </w:r>
    </w:p>
    <w:p>
      <w:pPr>
        <w:pStyle w:val="Compact"/>
        <w:numPr>
          <w:ilvl w:val="0"/>
          <w:numId w:val="1014"/>
        </w:numPr>
      </w:pPr>
      <w:r>
        <w:t xml:space="preserve">the strongest thesis-faithful reproduced model is classical (</w:t>
      </w:r>
      <w:r>
        <w:rPr>
          <w:rStyle w:val="VerbatimChar"/>
        </w:rPr>
        <w:t xml:space="preserve">thesis_cnniiii = 85.26 ± 0.97</w:t>
      </w:r>
      <w:r>
        <w:t xml:space="preserve">)</w:t>
      </w:r>
    </w:p>
    <w:p>
      <w:pPr>
        <w:pStyle w:val="Compact"/>
        <w:numPr>
          <w:ilvl w:val="0"/>
          <w:numId w:val="1014"/>
        </w:numPr>
      </w:pPr>
      <w:r>
        <w:t xml:space="preserve">the strongest current-local matched-budget model is classical (</w:t>
      </w:r>
      <w:r>
        <w:rPr>
          <w:rStyle w:val="VerbatimChar"/>
        </w:rPr>
        <w:t xml:space="preserve">classical_conv = 81.40 ± 1.06</w:t>
      </w:r>
      <w:r>
        <w:t xml:space="preserve">)</w:t>
      </w:r>
    </w:p>
    <w:p>
      <w:pPr>
        <w:pStyle w:val="Compact"/>
        <w:numPr>
          <w:ilvl w:val="0"/>
          <w:numId w:val="1014"/>
        </w:numPr>
      </w:pPr>
      <w:r>
        <w:t xml:space="preserve">current-local Henderson-style non-trainable quantum is</w:t>
      </w:r>
      <w:r>
        <w:t xml:space="preserve"> </w:t>
      </w:r>
      <w:r>
        <w:rPr>
          <w:rStyle w:val="VerbatimChar"/>
        </w:rPr>
        <w:t xml:space="preserve">80.40 ± 0.69</w:t>
      </w:r>
    </w:p>
    <w:p>
      <w:pPr>
        <w:pStyle w:val="Compact"/>
        <w:numPr>
          <w:ilvl w:val="0"/>
          <w:numId w:val="1014"/>
        </w:numPr>
      </w:pPr>
      <w:r>
        <w:t xml:space="preserve">thesis-faithful HQNN-II reproduction is</w:t>
      </w:r>
      <w:r>
        <w:t xml:space="preserve"> </w:t>
      </w:r>
      <w:r>
        <w:rPr>
          <w:rStyle w:val="VerbatimChar"/>
        </w:rPr>
        <w:t xml:space="preserve">78.61 ± 0.69</w:t>
      </w:r>
    </w:p>
    <w:p>
      <w:pPr>
        <w:pStyle w:val="Compact"/>
        <w:numPr>
          <w:ilvl w:val="0"/>
          <w:numId w:val="1014"/>
        </w:numPr>
      </w:pPr>
      <w:r>
        <w:t xml:space="preserve">V7 trainable quantum is not the best current model</w:t>
      </w:r>
    </w:p>
    <w:bookmarkEnd w:id="27"/>
    <w:bookmarkStart w:id="28" w:name="X4c2003aa78e5bbc0ac71a8d1d7404273925e24e"/>
    <w:p>
      <w:pPr>
        <w:pStyle w:val="Heading3"/>
      </w:pPr>
      <w:r>
        <w:t xml:space="preserve">6.2 Reproduce the thesis-best quantum baseline faithfully</w:t>
      </w:r>
    </w:p>
    <w:p>
      <w:pPr>
        <w:pStyle w:val="FirstParagraph"/>
      </w:pPr>
      <w:r>
        <w:t xml:space="preserve">Completed at the repository level: a faithful reproduction path for thesis HQNN-II now exists and has been evaluated as a separate model.</w:t>
      </w:r>
    </w:p>
    <w:p>
      <w:pPr>
        <w:pStyle w:val="BodyText"/>
      </w:pPr>
      <w:r>
        <w:t xml:space="preserve">Why this matters:</w:t>
      </w:r>
    </w:p>
    <w:p>
      <w:pPr>
        <w:pStyle w:val="Compact"/>
        <w:numPr>
          <w:ilvl w:val="0"/>
          <w:numId w:val="1015"/>
        </w:numPr>
      </w:pPr>
      <w:r>
        <w:t xml:space="preserve">the current Henderson-style non-trainable quantum ablation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the same architecture as thesis HQNN-II</w:t>
      </w:r>
    </w:p>
    <w:p>
      <w:pPr>
        <w:pStyle w:val="Compact"/>
        <w:numPr>
          <w:ilvl w:val="0"/>
          <w:numId w:val="1015"/>
        </w:numPr>
      </w:pPr>
      <w:r>
        <w:t xml:space="preserve">current evidence shows that the thesis-faithful HQNN-II reproduction remains below the strongest classical thesis-faithful anchor</w:t>
      </w:r>
    </w:p>
    <w:bookmarkEnd w:id="28"/>
    <w:bookmarkStart w:id="29" w:name="X9a31cb45d965733be3581ab0c0dd9de5ca83dd0"/>
    <w:p>
      <w:pPr>
        <w:pStyle w:val="Heading3"/>
      </w:pPr>
      <w:r>
        <w:t xml:space="preserve">6.3 Add stronger classical baselines</w:t>
      </w:r>
    </w:p>
    <w:p>
      <w:pPr>
        <w:pStyle w:val="FirstParagraph"/>
      </w:pPr>
      <w:r>
        <w:t xml:space="preserve">Required additions:</w:t>
      </w:r>
    </w:p>
    <w:p>
      <w:pPr>
        <w:pStyle w:val="Compact"/>
        <w:numPr>
          <w:ilvl w:val="0"/>
          <w:numId w:val="1016"/>
        </w:numPr>
      </w:pPr>
      <w:r>
        <w:t xml:space="preserve">at least one modern compact CNN baseline</w:t>
      </w:r>
    </w:p>
    <w:p>
      <w:pPr>
        <w:pStyle w:val="Compact"/>
        <w:numPr>
          <w:ilvl w:val="0"/>
          <w:numId w:val="1016"/>
        </w:numPr>
      </w:pPr>
      <w:r>
        <w:t xml:space="preserve">at least one transfer-learning or stronger vision baseline if computationally feasible</w:t>
      </w:r>
    </w:p>
    <w:p>
      <w:pPr>
        <w:pStyle w:val="Compact"/>
        <w:numPr>
          <w:ilvl w:val="0"/>
          <w:numId w:val="1016"/>
        </w:numPr>
      </w:pPr>
      <w:r>
        <w:t xml:space="preserve">matched-parameter comparisons where relevant</w:t>
      </w:r>
    </w:p>
    <w:p>
      <w:pPr>
        <w:pStyle w:val="FirstParagraph"/>
      </w:pPr>
      <w:r>
        <w:t xml:space="preserve">The goal is not to make quantum look better. The goal is to make reviewer objections weaker.</w:t>
      </w:r>
    </w:p>
    <w:bookmarkEnd w:id="29"/>
    <w:bookmarkStart w:id="30" w:name="X6493df2c6b591763074c67ce19b242bad95012a"/>
    <w:p>
      <w:pPr>
        <w:pStyle w:val="Heading3"/>
      </w:pPr>
      <w:r>
        <w:t xml:space="preserve">6.4 Run multi-seed experiments</w:t>
      </w:r>
    </w:p>
    <w:p>
      <w:pPr>
        <w:pStyle w:val="FirstParagraph"/>
      </w:pPr>
      <w:r>
        <w:t xml:space="preserve">Minimum recommendation:</w:t>
      </w:r>
    </w:p>
    <w:p>
      <w:pPr>
        <w:pStyle w:val="Compact"/>
        <w:numPr>
          <w:ilvl w:val="0"/>
          <w:numId w:val="1017"/>
        </w:numPr>
      </w:pPr>
      <w:r>
        <w:t xml:space="preserve">3 seeds for all key models</w:t>
      </w:r>
    </w:p>
    <w:p>
      <w:pPr>
        <w:pStyle w:val="Compact"/>
        <w:numPr>
          <w:ilvl w:val="0"/>
          <w:numId w:val="1017"/>
        </w:numPr>
      </w:pPr>
      <w:r>
        <w:t xml:space="preserve">report mean ± std</w:t>
      </w:r>
    </w:p>
    <w:p>
      <w:pPr>
        <w:pStyle w:val="Compact"/>
        <w:numPr>
          <w:ilvl w:val="0"/>
          <w:numId w:val="1017"/>
        </w:numPr>
      </w:pPr>
      <w:r>
        <w:t xml:space="preserve">keep splits and augmentation logic consistent</w:t>
      </w:r>
    </w:p>
    <w:bookmarkEnd w:id="30"/>
    <w:bookmarkStart w:id="31" w:name="X154e95255bbac09eaa3e7a581ad08d6890a0bed"/>
    <w:p>
      <w:pPr>
        <w:pStyle w:val="Heading3"/>
      </w:pPr>
      <w:r>
        <w:t xml:space="preserve">6.5 Define the quantum claim narrowly</w:t>
      </w:r>
    </w:p>
    <w:p>
      <w:pPr>
        <w:pStyle w:val="FirstParagraph"/>
      </w:pPr>
      <w:r>
        <w:t xml:space="preserve">The paper should stop implicitly chasing generic "quantum advantage".</w:t>
      </w:r>
    </w:p>
    <w:p>
      <w:pPr>
        <w:pStyle w:val="BodyText"/>
      </w:pPr>
      <w:r>
        <w:t xml:space="preserve">Choose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defensible claim: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Engineering claim:</w:t>
      </w:r>
      <w:r>
        <w:t xml:space="preserve"> </w:t>
      </w:r>
      <w:r>
        <w:t xml:space="preserve">gradient stabilization and precision-boundary lessons make trainable quanvolution reproducible.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Benchmark claim:</w:t>
      </w:r>
      <w:r>
        <w:t xml:space="preserve"> </w:t>
      </w:r>
      <w:r>
        <w:t xml:space="preserve">on a hard low-data heritage OCR task, quantum and classical variants can be compared on equal footing and the current evidence favors classical baselines.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Regime claim:</w:t>
      </w:r>
      <w:r>
        <w:t xml:space="preserve"> </w:t>
      </w:r>
      <w:r>
        <w:t xml:space="preserve">quantum may remain competitive only in a specific regime such as low-data or parameter-efficiency, if future experiments support it.</w:t>
      </w:r>
    </w:p>
    <w:p>
      <w:pPr>
        <w:pStyle w:val="FirstParagraph"/>
      </w:pPr>
      <w:r>
        <w:t xml:space="preserve">Do not claim all three unless the evidence truly supports all three.</w:t>
      </w:r>
    </w:p>
    <w:bookmarkEnd w:id="31"/>
    <w:bookmarkStart w:id="32" w:name="X60e05da02022ba11f1c61801279e22b1fc75983"/>
    <w:p>
      <w:pPr>
        <w:pStyle w:val="Heading3"/>
      </w:pPr>
      <w:r>
        <w:t xml:space="preserve">6.6 Add one broader validation axis</w:t>
      </w:r>
    </w:p>
    <w:p>
      <w:pPr>
        <w:pStyle w:val="FirstParagraph"/>
      </w:pPr>
      <w:r>
        <w:t xml:space="preserve">At least one of the following should be added:</w:t>
      </w:r>
    </w:p>
    <w:p>
      <w:pPr>
        <w:pStyle w:val="Compact"/>
        <w:numPr>
          <w:ilvl w:val="0"/>
          <w:numId w:val="1019"/>
        </w:numPr>
      </w:pPr>
      <w:r>
        <w:t xml:space="preserve">a second dataset</w:t>
      </w:r>
    </w:p>
    <w:p>
      <w:pPr>
        <w:pStyle w:val="Compact"/>
        <w:numPr>
          <w:ilvl w:val="0"/>
          <w:numId w:val="1019"/>
        </w:numPr>
      </w:pPr>
      <w:r>
        <w:t xml:space="preserve">a low-data scaling study</w:t>
      </w:r>
    </w:p>
    <w:p>
      <w:pPr>
        <w:pStyle w:val="Compact"/>
        <w:numPr>
          <w:ilvl w:val="0"/>
          <w:numId w:val="1019"/>
        </w:numPr>
      </w:pPr>
      <w:r>
        <w:t xml:space="preserve">parameter-budget scaling</w:t>
      </w:r>
    </w:p>
    <w:p>
      <w:pPr>
        <w:pStyle w:val="Compact"/>
        <w:numPr>
          <w:ilvl w:val="0"/>
          <w:numId w:val="1019"/>
        </w:numPr>
      </w:pPr>
      <w:r>
        <w:t xml:space="preserve">robustness / noise / corruption evaluation</w:t>
      </w:r>
    </w:p>
    <w:p>
      <w:pPr>
        <w:pStyle w:val="FirstParagraph"/>
      </w:pPr>
      <w:r>
        <w:t xml:space="preserve">Without this, the paper remains too single-benchmark to be persuasive for stronger venues.</w:t>
      </w:r>
    </w:p>
    <w:bookmarkEnd w:id="32"/>
    <w:bookmarkEnd w:id="33"/>
    <w:bookmarkStart w:id="36" w:name="X3e8f82df94d107aea8ab85f1e0a6de0b19f36db"/>
    <w:p>
      <w:pPr>
        <w:pStyle w:val="Heading2"/>
      </w:pPr>
      <w:r>
        <w:t xml:space="preserve">7. Practical Two-Track Strategy</w:t>
      </w:r>
    </w:p>
    <w:bookmarkStart w:id="34" w:name="track-1-fast-publishable-paper"/>
    <w:p>
      <w:pPr>
        <w:pStyle w:val="Heading3"/>
      </w:pPr>
      <w:r>
        <w:t xml:space="preserve">Track 1: Fast publishable paper</w:t>
      </w:r>
    </w:p>
    <w:p>
      <w:pPr>
        <w:pStyle w:val="FirstParagraph"/>
      </w:pPr>
      <w:r>
        <w:t xml:space="preserve">Goal: produce a credible Q2 / specialized-journal manuscript without waiting for a perfect quantum win.</w:t>
      </w:r>
    </w:p>
    <w:p>
      <w:pPr>
        <w:pStyle w:val="BodyText"/>
      </w:pPr>
      <w:r>
        <w:t xml:space="preserve">Steps:</w:t>
      </w:r>
    </w:p>
    <w:p>
      <w:pPr>
        <w:pStyle w:val="Compact"/>
        <w:numPr>
          <w:ilvl w:val="0"/>
          <w:numId w:val="1020"/>
        </w:numPr>
      </w:pPr>
      <w:r>
        <w:t xml:space="preserve">synchronize claims across paper and docs</w:t>
      </w:r>
    </w:p>
    <w:p>
      <w:pPr>
        <w:pStyle w:val="Compact"/>
        <w:numPr>
          <w:ilvl w:val="0"/>
          <w:numId w:val="1020"/>
        </w:numPr>
      </w:pPr>
      <w:r>
        <w:t xml:space="preserve">use the now-completed 3-seed comparisons for:</w:t>
      </w:r>
    </w:p>
    <w:p>
      <w:pPr>
        <w:pStyle w:val="Compact"/>
        <w:numPr>
          <w:ilvl w:val="1"/>
          <w:numId w:val="1021"/>
        </w:numPr>
      </w:pPr>
      <w:r>
        <w:t xml:space="preserve">thesis HQNN-II</w:t>
      </w:r>
    </w:p>
    <w:p>
      <w:pPr>
        <w:pStyle w:val="Compact"/>
        <w:numPr>
          <w:ilvl w:val="1"/>
          <w:numId w:val="1021"/>
        </w:numPr>
      </w:pPr>
      <w:r>
        <w:t xml:space="preserve">thesis CNN-III</w:t>
      </w:r>
    </w:p>
    <w:p>
      <w:pPr>
        <w:pStyle w:val="Compact"/>
        <w:numPr>
          <w:ilvl w:val="1"/>
          <w:numId w:val="1021"/>
        </w:numPr>
      </w:pPr>
      <w:r>
        <w:t xml:space="preserve">thesis CNN-IIII</w:t>
      </w:r>
    </w:p>
    <w:p>
      <w:pPr>
        <w:pStyle w:val="Compact"/>
        <w:numPr>
          <w:ilvl w:val="1"/>
          <w:numId w:val="1021"/>
        </w:numPr>
      </w:pPr>
      <w:r>
        <w:t xml:space="preserve">current Henderson-style non-trainable quantum</w:t>
      </w:r>
    </w:p>
    <w:p>
      <w:pPr>
        <w:pStyle w:val="Compact"/>
        <w:numPr>
          <w:ilvl w:val="1"/>
          <w:numId w:val="1021"/>
        </w:numPr>
      </w:pPr>
      <w:r>
        <w:t xml:space="preserve">classical_conv</w:t>
      </w:r>
    </w:p>
    <w:p>
      <w:pPr>
        <w:pStyle w:val="Compact"/>
        <w:numPr>
          <w:ilvl w:val="1"/>
          <w:numId w:val="1021"/>
        </w:numPr>
      </w:pPr>
      <w:r>
        <w:t xml:space="preserve">param_linear</w:t>
      </w:r>
    </w:p>
    <w:p>
      <w:pPr>
        <w:pStyle w:val="Compact"/>
        <w:numPr>
          <w:ilvl w:val="0"/>
          <w:numId w:val="1020"/>
        </w:numPr>
      </w:pPr>
      <w:r>
        <w:t xml:space="preserve">rerun V7 trainable quantum only if a fresh artifact-backed case-study result is needed</w:t>
      </w:r>
    </w:p>
    <w:p>
      <w:pPr>
        <w:pStyle w:val="Compact"/>
        <w:numPr>
          <w:ilvl w:val="0"/>
          <w:numId w:val="1020"/>
        </w:numPr>
      </w:pPr>
      <w:r>
        <w:t xml:space="preserve">rewrite the paper around trustworthy comparative evidence</w:t>
      </w:r>
    </w:p>
    <w:p>
      <w:pPr>
        <w:pStyle w:val="FirstParagraph"/>
      </w:pPr>
      <w:r>
        <w:t xml:space="preserve">Operational note:</w:t>
      </w:r>
      <w:r>
        <w:t xml:space="preserve"> </w:t>
      </w:r>
      <w:r>
        <w:t xml:space="preserve">if local Mac runs can answer a benchmark question, prefer them and preserve Colab compute units for trainable-quantum confirmation or later extension studies.</w:t>
      </w:r>
    </w:p>
    <w:p>
      <w:pPr>
        <w:pStyle w:val="BodyText"/>
      </w:pPr>
      <w:r>
        <w:t xml:space="preserve">This is the shortest realistic publication path.</w:t>
      </w:r>
    </w:p>
    <w:bookmarkEnd w:id="34"/>
    <w:bookmarkStart w:id="35" w:name="track-2-stronger-q1-attempt"/>
    <w:p>
      <w:pPr>
        <w:pStyle w:val="Heading3"/>
      </w:pPr>
      <w:r>
        <w:t xml:space="preserve">Track 2: Stronger Q1 attempt</w:t>
      </w:r>
    </w:p>
    <w:p>
      <w:pPr>
        <w:pStyle w:val="FirstParagraph"/>
      </w:pPr>
      <w:r>
        <w:t xml:space="preserve">Goal: upgrade the paper into a stronger benchmark / methodology contribution.</w:t>
      </w:r>
    </w:p>
    <w:p>
      <w:pPr>
        <w:pStyle w:val="BodyText"/>
      </w:pPr>
      <w:r>
        <w:t xml:space="preserve">Additional steps:</w:t>
      </w:r>
    </w:p>
    <w:p>
      <w:pPr>
        <w:pStyle w:val="Compact"/>
        <w:numPr>
          <w:ilvl w:val="0"/>
          <w:numId w:val="1022"/>
        </w:numPr>
      </w:pPr>
      <w:r>
        <w:t xml:space="preserve">add stronger classical baselines</w:t>
      </w:r>
    </w:p>
    <w:p>
      <w:pPr>
        <w:pStyle w:val="Compact"/>
        <w:numPr>
          <w:ilvl w:val="0"/>
          <w:numId w:val="1022"/>
        </w:numPr>
      </w:pPr>
      <w:r>
        <w:t xml:space="preserve">add one external or second benchmark</w:t>
      </w:r>
    </w:p>
    <w:p>
      <w:pPr>
        <w:pStyle w:val="Compact"/>
        <w:numPr>
          <w:ilvl w:val="0"/>
          <w:numId w:val="1022"/>
        </w:numPr>
      </w:pPr>
      <w:r>
        <w:t xml:space="preserve">add low-data or parameter-efficiency analysis</w:t>
      </w:r>
    </w:p>
    <w:p>
      <w:pPr>
        <w:pStyle w:val="Compact"/>
        <w:numPr>
          <w:ilvl w:val="0"/>
          <w:numId w:val="1022"/>
        </w:numPr>
      </w:pPr>
      <w:r>
        <w:t xml:space="preserve">formalize a fair comparison framework inspired by practical quantum advantage literature</w:t>
      </w:r>
    </w:p>
    <w:p>
      <w:pPr>
        <w:pStyle w:val="Compact"/>
        <w:numPr>
          <w:ilvl w:val="0"/>
          <w:numId w:val="1022"/>
        </w:numPr>
      </w:pPr>
      <w:r>
        <w:t xml:space="preserve">demonstrate at least one regime where the quantum model is genuinely competitive under rules defined in advance</w:t>
      </w:r>
    </w:p>
    <w:p>
      <w:pPr>
        <w:pStyle w:val="FirstParagraph"/>
      </w:pPr>
      <w:r>
        <w:t xml:space="preserve">This route is slower, but it is the only honest way toward a broad Q1 attempt.</w:t>
      </w:r>
    </w:p>
    <w:bookmarkEnd w:id="35"/>
    <w:bookmarkEnd w:id="36"/>
    <w:bookmarkStart w:id="37" w:name="X62849ad5644a6a30c46c426abef9a56d8742f0f"/>
    <w:p>
      <w:pPr>
        <w:pStyle w:val="Heading2"/>
      </w:pPr>
      <w:r>
        <w:t xml:space="preserve">8. Recommended Writing Position Today</w:t>
      </w:r>
    </w:p>
    <w:p>
      <w:pPr>
        <w:pStyle w:val="FirstParagraph"/>
      </w:pPr>
      <w:r>
        <w:t xml:space="preserve">If we start rewriting now, the paper should be positioned as:</w:t>
      </w:r>
    </w:p>
    <w:p>
      <w:pPr>
        <w:pStyle w:val="BlockText"/>
      </w:pPr>
      <w:r>
        <w:t xml:space="preserve">A rigorous comparative study of trainable and non-trainable quanvolutional models for Ottoman handwritten character recognition, with emphasis on failure analysis, benchmarking discipline, and reproducible engineering lessons for hybrid QML.</w:t>
      </w:r>
    </w:p>
    <w:p>
      <w:pPr>
        <w:pStyle w:val="FirstParagraph"/>
      </w:pPr>
      <w:r>
        <w:t xml:space="preserve">That is much stronger and more defensible than:</w:t>
      </w:r>
    </w:p>
    <w:p>
      <w:pPr>
        <w:pStyle w:val="BlockText"/>
      </w:pPr>
      <w:r>
        <w:t xml:space="preserve">A quantum model that outperforms classical OCR.</w:t>
      </w:r>
    </w:p>
    <w:bookmarkEnd w:id="37"/>
    <w:bookmarkStart w:id="38" w:name="Xa4d1f126a868c6a0f3a677b3c9292541c9d2357"/>
    <w:p>
      <w:pPr>
        <w:pStyle w:val="Heading2"/>
      </w:pPr>
      <w:r>
        <w:t xml:space="preserve">9. Immediate Action List</w:t>
      </w:r>
    </w:p>
    <w:p>
      <w:pPr>
        <w:pStyle w:val="Compact"/>
        <w:numPr>
          <w:ilvl w:val="0"/>
          <w:numId w:val="1023"/>
        </w:numPr>
      </w:pPr>
      <w:r>
        <w:t xml:space="preserve">Update the paper claim hierarchy to match the current repo evidence.</w:t>
      </w:r>
    </w:p>
    <w:p>
      <w:pPr>
        <w:pStyle w:val="Compact"/>
        <w:numPr>
          <w:ilvl w:val="0"/>
          <w:numId w:val="1023"/>
        </w:numPr>
      </w:pPr>
      <w:r>
        <w:t xml:space="preserve">Implement and evaluate faithful thesis HQNN-II reproduction.</w:t>
      </w:r>
    </w:p>
    <w:p>
      <w:pPr>
        <w:pStyle w:val="Compact"/>
        <w:numPr>
          <w:ilvl w:val="0"/>
          <w:numId w:val="1023"/>
        </w:numPr>
      </w:pPr>
      <w:r>
        <w:t xml:space="preserve">Normalize the ablation protocol across classical and quantum baselines.</w:t>
      </w:r>
    </w:p>
    <w:p>
      <w:pPr>
        <w:pStyle w:val="Compact"/>
        <w:numPr>
          <w:ilvl w:val="0"/>
          <w:numId w:val="1023"/>
        </w:numPr>
      </w:pPr>
      <w:r>
        <w:t xml:space="preserve">Run multi-seed evaluation for the shortlist.</w:t>
      </w:r>
    </w:p>
    <w:p>
      <w:pPr>
        <w:pStyle w:val="Compact"/>
        <w:numPr>
          <w:ilvl w:val="0"/>
          <w:numId w:val="1023"/>
        </w:numPr>
      </w:pPr>
      <w:r>
        <w:t xml:space="preserve">Decide whether the paper will follow the QML-insight route or the OCR/heritage route.</w:t>
      </w:r>
    </w:p>
    <w:bookmarkEnd w:id="38"/>
    <w:bookmarkStart w:id="39" w:name="X0f8def73ffde1cadc912bd4b543c62bb391cc99"/>
    <w:p>
      <w:pPr>
        <w:pStyle w:val="Heading2"/>
      </w:pPr>
      <w:r>
        <w:t xml:space="preserve">10. Source Notes</w:t>
      </w:r>
    </w:p>
    <w:p>
      <w:pPr>
        <w:pStyle w:val="FirstParagraph"/>
      </w:pPr>
      <w:r>
        <w:t xml:space="preserve">This strategy was informed by:</w:t>
      </w:r>
    </w:p>
    <w:p>
      <w:pPr>
        <w:pStyle w:val="Compact"/>
        <w:numPr>
          <w:ilvl w:val="0"/>
          <w:numId w:val="1024"/>
        </w:numPr>
      </w:pPr>
      <w:r>
        <w:t xml:space="preserve">the current repository evidence</w:t>
      </w:r>
    </w:p>
    <w:p>
      <w:pPr>
        <w:pStyle w:val="Compact"/>
        <w:numPr>
          <w:ilvl w:val="0"/>
          <w:numId w:val="1024"/>
        </w:numPr>
      </w:pPr>
      <w:r>
        <w:t xml:space="preserve">the present paper draft and roadmap</w:t>
      </w:r>
    </w:p>
    <w:p>
      <w:pPr>
        <w:pStyle w:val="Compact"/>
        <w:numPr>
          <w:ilvl w:val="0"/>
          <w:numId w:val="1024"/>
        </w:numPr>
      </w:pPr>
      <w:r>
        <w:t xml:space="preserve">current journal scope pages</w:t>
      </w:r>
    </w:p>
    <w:p>
      <w:pPr>
        <w:pStyle w:val="Compact"/>
        <w:numPr>
          <w:ilvl w:val="0"/>
          <w:numId w:val="1024"/>
        </w:numPr>
      </w:pPr>
      <w:r>
        <w:t xml:space="preserve">recent QML literature emphasizing either fair classical comparison or scope-limited but rigorous hybrid-QML analysis</w:t>
      </w:r>
    </w:p>
    <w:p>
      <w:pPr>
        <w:pStyle w:val="FirstParagraph"/>
      </w:pPr>
      <w:r>
        <w:t xml:space="preserve">Relevant sources:</w:t>
      </w:r>
    </w:p>
    <w:p>
      <w:pPr>
        <w:pStyle w:val="Compact"/>
        <w:numPr>
          <w:ilvl w:val="0"/>
          <w:numId w:val="1025"/>
        </w:numPr>
      </w:pPr>
      <w:r>
        <w:t xml:space="preserve">Expert Systems with Applications aims and scope:</w:t>
      </w:r>
      <w:r>
        <w:t xml:space="preserve"> </w:t>
      </w:r>
      <w:r>
        <w:rPr>
          <w:rStyle w:val="VerbatimChar"/>
        </w:rPr>
        <w:t xml:space="preserve">https://www.sciencedirect.com/journal/expert-systems-with-applications</w:t>
      </w:r>
    </w:p>
    <w:p>
      <w:pPr>
        <w:pStyle w:val="Compact"/>
        <w:numPr>
          <w:ilvl w:val="0"/>
          <w:numId w:val="1025"/>
        </w:numPr>
      </w:pPr>
      <w:r>
        <w:t xml:space="preserve">Machine Learning with Applications aims and scope:</w:t>
      </w:r>
      <w:r>
        <w:t xml:space="preserve"> </w:t>
      </w:r>
      <w:r>
        <w:rPr>
          <w:rStyle w:val="VerbatimChar"/>
        </w:rPr>
        <w:t xml:space="preserve">https://www.sciencedirect.com/journal/machine-learning-with-applications</w:t>
      </w:r>
    </w:p>
    <w:p>
      <w:pPr>
        <w:pStyle w:val="Compact"/>
        <w:numPr>
          <w:ilvl w:val="0"/>
          <w:numId w:val="1025"/>
        </w:numPr>
      </w:pPr>
      <w:r>
        <w:t xml:space="preserve">SCImago category example showing broad AI Q1 venue context:</w:t>
      </w:r>
      <w:r>
        <w:t xml:space="preserve"> </w:t>
      </w:r>
      <w:r>
        <w:rPr>
          <w:rStyle w:val="VerbatimChar"/>
        </w:rPr>
        <w:t xml:space="preserve">https://www.scimagojr.com/journalrank.php?category=1702&amp;country=GB&amp;ord=desc&amp;order=cd</w:t>
      </w:r>
    </w:p>
    <w:p>
      <w:pPr>
        <w:pStyle w:val="Compact"/>
        <w:numPr>
          <w:ilvl w:val="0"/>
          <w:numId w:val="1025"/>
        </w:numPr>
      </w:pPr>
      <w:r>
        <w:t xml:space="preserve">SCImago category example for Quantum Machine Intelligence:</w:t>
      </w:r>
      <w:r>
        <w:t xml:space="preserve"> </w:t>
      </w:r>
      <w:r>
        <w:rPr>
          <w:rStyle w:val="VerbatimChar"/>
        </w:rPr>
        <w:t xml:space="preserve">https://www.scimagojr.com/journalrank.php?category=2614&amp;country=DE</w:t>
      </w:r>
    </w:p>
    <w:p>
      <w:pPr>
        <w:pStyle w:val="Compact"/>
        <w:numPr>
          <w:ilvl w:val="0"/>
          <w:numId w:val="1025"/>
        </w:numPr>
      </w:pPr>
      <w:r>
        <w:t xml:space="preserve">SCImago category example for Journal on Computing and Cultural Heritage:</w:t>
      </w:r>
      <w:r>
        <w:t xml:space="preserve"> </w:t>
      </w:r>
      <w:r>
        <w:rPr>
          <w:rStyle w:val="VerbatimChar"/>
        </w:rPr>
        <w:t xml:space="preserve">https://www.scimagojr.com/diamond/journalrank.php?category=1206&amp;country=OECD&amp;type=j</w:t>
      </w:r>
    </w:p>
    <w:p>
      <w:pPr>
        <w:pStyle w:val="Compact"/>
        <w:numPr>
          <w:ilvl w:val="0"/>
          <w:numId w:val="1025"/>
        </w:numPr>
      </w:pPr>
      <w:r>
        <w:t xml:space="preserve">Quantum Machine Intelligence example article discussing limited but well-defined QML investigations:</w:t>
      </w:r>
      <w:r>
        <w:t xml:space="preserve"> </w:t>
      </w:r>
      <w:r>
        <w:rPr>
          <w:rStyle w:val="VerbatimChar"/>
        </w:rPr>
        <w:t xml:space="preserve">https://link.springer.com/article/10.1007/s42484-024-00200-0</w:t>
      </w:r>
    </w:p>
    <w:p>
      <w:pPr>
        <w:pStyle w:val="Compact"/>
        <w:numPr>
          <w:ilvl w:val="0"/>
          <w:numId w:val="1025"/>
        </w:numPr>
      </w:pPr>
      <w:r>
        <w:t xml:space="preserve">Practical quantum advantage framework:</w:t>
      </w:r>
      <w:r>
        <w:t xml:space="preserve"> </w:t>
      </w:r>
      <w:r>
        <w:rPr>
          <w:rStyle w:val="VerbatimChar"/>
        </w:rPr>
        <w:t xml:space="preserve">https://www.nature.com/articles/s42005-024-01552-6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2026-03-25T20:50:50Z</dcterms:created>
  <dcterms:modified xsi:type="dcterms:W3CDTF">2026-03-25T20:50:50Z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