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LUMI – Engineering Handbook v1.0</w:t>
      </w:r>
    </w:p>
    <w:p>
      <w:r>
        <w:rPr>
          <w:b/>
        </w:rPr>
        <w:t>Master Index</w:t>
        <w:br/>
      </w:r>
      <w:r>
        <w:t>Bu belge, şimdiye kadar hazırlanan mühendislik dokümantasyonunun ana giriş noktasıdır.</w:t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Paket</w:t>
            </w:r>
          </w:p>
        </w:tc>
        <w:tc>
          <w:tcPr>
            <w:tcW w:type="dxa" w:w="4320"/>
          </w:tcPr>
          <w:p>
            <w:r>
              <w:t>İçerik</w:t>
            </w:r>
          </w:p>
        </w:tc>
      </w:tr>
      <w:tr>
        <w:tc>
          <w:tcPr>
            <w:tcW w:type="dxa" w:w="4320"/>
          </w:tcPr>
          <w:p>
            <w:r>
              <w:t>Bölüm 1–13</w:t>
            </w:r>
          </w:p>
        </w:tc>
        <w:tc>
          <w:tcPr>
            <w:tcW w:type="dxa" w:w="4320"/>
          </w:tcPr>
          <w:p>
            <w:r>
              <w:t>Temel mimari, simülasyon, veri katmanı ve çekirdek sistemler</w:t>
            </w:r>
          </w:p>
        </w:tc>
      </w:tr>
      <w:tr>
        <w:tc>
          <w:tcPr>
            <w:tcW w:type="dxa" w:w="4320"/>
          </w:tcPr>
          <w:p>
            <w:r>
              <w:t>Bölüm 14–20</w:t>
            </w:r>
          </w:p>
        </w:tc>
        <w:tc>
          <w:tcPr>
            <w:tcW w:type="dxa" w:w="4320"/>
          </w:tcPr>
          <w:p>
            <w:r>
              <w:t>Operasyon, test, kalite, release ve production hazırlığı</w:t>
            </w:r>
          </w:p>
        </w:tc>
      </w:tr>
      <w:tr>
        <w:tc>
          <w:tcPr>
            <w:tcW w:type="dxa" w:w="4320"/>
          </w:tcPr>
          <w:p>
            <w:r>
              <w:t>Bölüm 21</w:t>
            </w:r>
          </w:p>
        </w:tc>
        <w:tc>
          <w:tcPr>
            <w:tcW w:type="dxa" w:w="4320"/>
          </w:tcPr>
          <w:p>
            <w:r>
              <w:t>Security, Privacy &amp; Compliance</w:t>
            </w:r>
          </w:p>
        </w:tc>
      </w:tr>
      <w:tr>
        <w:tc>
          <w:tcPr>
            <w:tcW w:type="dxa" w:w="4320"/>
          </w:tcPr>
          <w:p>
            <w:r>
              <w:t>Bölüm 22</w:t>
            </w:r>
          </w:p>
        </w:tc>
        <w:tc>
          <w:tcPr>
            <w:tcW w:type="dxa" w:w="4320"/>
          </w:tcPr>
          <w:p>
            <w:r>
              <w:t>Deployment, Infrastructure &amp; DevOps</w:t>
            </w:r>
          </w:p>
        </w:tc>
      </w:tr>
      <w:tr>
        <w:tc>
          <w:tcPr>
            <w:tcW w:type="dxa" w:w="4320"/>
          </w:tcPr>
          <w:p>
            <w:r>
              <w:t>Bölüm 23</w:t>
            </w:r>
          </w:p>
        </w:tc>
        <w:tc>
          <w:tcPr>
            <w:tcW w:type="dxa" w:w="4320"/>
          </w:tcPr>
          <w:p>
            <w:r>
              <w:t>API, SDK &amp; Integration</w:t>
            </w:r>
          </w:p>
        </w:tc>
      </w:tr>
      <w:tr>
        <w:tc>
          <w:tcPr>
            <w:tcW w:type="dxa" w:w="4320"/>
          </w:tcPr>
          <w:p>
            <w:r>
              <w:t>Bölüm 24</w:t>
            </w:r>
          </w:p>
        </w:tc>
        <w:tc>
          <w:tcPr>
            <w:tcW w:type="dxa" w:w="4320"/>
          </w:tcPr>
          <w:p>
            <w:r>
              <w:t>Documentation, Engineering Standards &amp; Knowledge Management</w:t>
            </w:r>
          </w:p>
        </w:tc>
      </w:tr>
      <w:tr>
        <w:tc>
          <w:tcPr>
            <w:tcW w:type="dxa" w:w="4320"/>
          </w:tcPr>
          <w:p>
            <w:r>
              <w:t>Bölüm 25</w:t>
            </w:r>
          </w:p>
        </w:tc>
        <w:tc>
          <w:tcPr>
            <w:tcW w:type="dxa" w:w="4320"/>
          </w:tcPr>
          <w:p>
            <w:r>
              <w:t>Final Governance, Delivery &amp; Long-Term Evolution</w:t>
            </w:r>
          </w:p>
        </w:tc>
      </w:tr>
    </w:tbl>
    <w:p>
      <w:pPr>
        <w:pStyle w:val="Heading2"/>
      </w:pPr>
      <w:r>
        <w:t>Sonraki Birleştirme Aşaması</w:t>
      </w:r>
    </w:p>
    <w:p>
      <w:r>
        <w:t>- Tüm Markdown dosyalarının tek klasörde standartlaştırılması</w:t>
        <w:br/>
        <w:t>- Tek ZIP arşivi oluşturulması</w:t>
        <w:br/>
        <w:t>- Tek PDF Engineering Handbook üretilmesi</w:t>
        <w:br/>
        <w:t>- İçindekiler ve çapraz referansların eklenmesi</w:t>
        <w:br/>
        <w:t>- Sürüm numaralandırması (v1.0)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