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single" w:sz="12" w:color="1B2A5C"/>
          <w:left w:val="single" w:sz="12" w:color="1B2A5C"/>
          <w:bottom w:val="single" w:sz="12" w:color="1B2A5C"/>
          <w:right w:val="single" w:sz="12" w:color="1B2A5C"/>
          <w:insideH w:val="single" w:sz="12" w:color="1B2A5C"/>
          <w:insideV w:val="single" w:sz="12" w:color="1B2A5C"/>
        </w:tblBorders>
      </w:tblPr>
      <w:tblGrid>
        <w:gridCol w:w="10656"/>
      </w:tblGrid>
      <w:tr>
        <w:tc>
          <w:tcPr>
            <w:tcW w:type="dxa" w:w="10656"/>
            <w:shd w:val="clear" w:color="auto" w:fill="1B2A5C"/>
          </w:tcPr>
          <w:p>
            <w:pPr>
              <w:spacing w:after="40" w:before="20"/>
              <w:jc w:val="center"/>
            </w:pPr>
            <w:r/>
            <w:r>
              <w:rPr>
                <w:rFonts w:ascii="Arial" w:hAnsi="Arial"/>
                <w:b/>
                <w:color w:val="FFFFFF"/>
                <w:sz w:val="36"/>
              </w:rPr>
              <w:t>QUESTIONS FOR THE TEAM</w:t>
            </w:r>
          </w:p>
          <w:p>
            <w:pPr>
              <w:spacing w:after="40" w:before="20"/>
              <w:jc w:val="center"/>
            </w:pPr>
            <w:r>
              <w:rPr>
                <w:rFonts w:ascii="Arial" w:hAnsi="Arial"/>
                <w:b w:val="0"/>
                <w:color w:val="DDE0E8"/>
                <w:sz w:val="20"/>
              </w:rPr>
              <w:t>ELD collaboration  ·  July 30–31, 2026  ·  Room 150</w:t>
            </w:r>
          </w:p>
        </w:tc>
      </w:tr>
    </w:tbl>
    <w:p>
      <w:pPr>
        <w:spacing w:after="100" w:before="0"/>
      </w:pPr>
      <w:r>
        <w:rPr>
          <w:rFonts w:ascii="Arial" w:hAnsi="Arial"/>
          <w:b w:val="0"/>
          <w:i w:val="0"/>
          <w:color w:val="333333"/>
          <w:sz w:val="8"/>
        </w:rPr>
      </w:r>
    </w:p>
    <w:tbl>
      <w:tblPr>
        <w:tblW w:type="auto" w:w="0"/>
        <w:tblLayout w:type="fixed"/>
        <w:tblLook w:firstColumn="1" w:firstRow="1" w:lastColumn="0" w:lastRow="0" w:noHBand="0" w:noVBand="1" w:val="04A0"/>
        <w:tblBorders>
          <w:top w:val="single" w:sz="8" w:color="2A9D8F"/>
          <w:left w:val="single" w:sz="8" w:color="2A9D8F"/>
          <w:bottom w:val="single" w:sz="8" w:color="2A9D8F"/>
          <w:right w:val="single" w:sz="8" w:color="2A9D8F"/>
          <w:insideH w:val="single" w:sz="8" w:color="2A9D8F"/>
          <w:insideV w:val="single" w:sz="8" w:color="2A9D8F"/>
        </w:tblBorders>
      </w:tblPr>
      <w:tblGrid>
        <w:gridCol w:w="10656"/>
      </w:tblGrid>
      <w:tr>
        <w:tc>
          <w:tcPr>
            <w:tcW w:type="dxa" w:w="10656"/>
            <w:shd w:val="clear" w:color="auto" w:fill="FBF7EC"/>
          </w:tcPr>
          <w:p>
            <w:pPr>
              <w:spacing w:after="40" w:before="20"/>
            </w:pPr>
            <w:r/>
            <w:r>
              <w:rPr>
                <w:rFonts w:ascii="Arial" w:hAnsi="Arial"/>
                <w:b/>
                <w:color w:val="1B2A5C"/>
                <w:sz w:val="20"/>
              </w:rPr>
              <w:t>★ THE TENSION UNDER ALL OF THIS</w:t>
            </w:r>
          </w:p>
          <w:p>
            <w:pPr>
              <w:spacing w:after="40" w:before="20"/>
            </w:pPr>
            <w:r>
              <w:rPr>
                <w:rFonts w:ascii="Arial" w:hAnsi="Arial"/>
                <w:b w:val="0"/>
                <w:color w:val="333333"/>
                <w:sz w:val="19"/>
              </w:rPr>
              <w:t>A-G credit means a newcomer's work now gets judged against college-prep standards. A student can grow enormously and still sit below grade level. Everyone in the room knows this and probably nobody has said it out loud yet. The good questions go at that.</w:t>
            </w:r>
          </w:p>
          <w:p>
            <w:pPr>
              <w:spacing w:after="40" w:before="20"/>
            </w:pPr>
            <w:r>
              <w:rPr>
                <w:rFonts w:ascii="Arial" w:hAnsi="Arial"/>
                <w:b w:val="0"/>
                <w:color w:val="333333"/>
                <w:sz w:val="6"/>
              </w:rPr>
            </w:r>
          </w:p>
          <w:p>
            <w:pPr>
              <w:spacing w:after="40" w:before="20"/>
            </w:pPr>
            <w:r>
              <w:rPr>
                <w:rFonts w:ascii="Arial" w:hAnsi="Arial"/>
                <w:b/>
                <w:color w:val="1B2A5C"/>
                <w:sz w:val="19"/>
              </w:rPr>
              <w:t>⚠ ASK THESE BEFORE SHOWING ANY MATERIALS. Questions first makes you a colleague solving a shared problem. Materials first makes you a presenter, and the questions become rhetorical.</w:t>
            </w:r>
          </w:p>
        </w:tc>
      </w:tr>
    </w:tbl>
    <w:p>
      <w:pPr>
        <w:spacing w:after="120" w:before="0"/>
      </w:pPr>
      <w:r>
        <w:rPr>
          <w:rFonts w:ascii="Arial" w:hAnsi="Arial"/>
          <w:b w:val="0"/>
          <w:i w:val="0"/>
          <w:color w:val="333333"/>
          <w:sz w:val="8"/>
        </w:rPr>
      </w:r>
    </w:p>
    <w:tbl>
      <w:tblPr>
        <w:tblW w:type="auto" w:w="0"/>
        <w:tblLayout w:type="fixed"/>
        <w:tblLook w:firstColumn="1" w:firstRow="1" w:lastColumn="0" w:lastRow="0" w:noHBand="0" w:noVBand="1" w:val="04A0"/>
        <w:tblBorders>
          <w:top w:val="single" w:sz="8" w:color="1B2A5C"/>
          <w:left w:val="single" w:sz="8" w:color="1B2A5C"/>
          <w:bottom w:val="single" w:sz="8" w:color="1B2A5C"/>
          <w:right w:val="single" w:sz="8" w:color="1B2A5C"/>
          <w:insideH w:val="single" w:sz="8" w:color="1B2A5C"/>
          <w:insideV w:val="single" w:sz="8" w:color="1B2A5C"/>
        </w:tblBorders>
      </w:tblPr>
      <w:tblGrid>
        <w:gridCol w:w="5328"/>
        <w:gridCol w:w="5328"/>
      </w:tblGrid>
      <w:tr>
        <w:tc>
          <w:tcPr>
            <w:tcW w:type="dxa" w:w="3312"/>
            <w:shd w:val="clear" w:color="auto" w:fill="1B2A5C"/>
          </w:tcPr>
          <w:p>
            <w:pPr>
              <w:spacing w:after="40" w:before="20"/>
            </w:pPr>
            <w:r/>
            <w:r>
              <w:rPr>
                <w:rFonts w:ascii="Arial" w:hAnsi="Arial"/>
                <w:b/>
                <w:color w:val="FFFFFF"/>
                <w:sz w:val="24"/>
              </w:rPr>
              <w:t>THE WHOLE TEAM</w:t>
            </w:r>
          </w:p>
        </w:tc>
        <w:tc>
          <w:tcPr>
            <w:tcW w:type="dxa" w:w="7344"/>
            <w:shd w:val="clear" w:color="auto" w:fill="1B2A5C"/>
          </w:tcPr>
          <w:p>
            <w:pPr>
              <w:spacing w:after="40" w:before="20"/>
              <w:jc w:val="right"/>
            </w:pPr>
            <w:r/>
            <w:r>
              <w:rPr>
                <w:rFonts w:ascii="Arial" w:hAnsi="Arial"/>
                <w:b w:val="0"/>
                <w:color w:val="DDE0E8"/>
                <w:sz w:val="18"/>
              </w:rPr>
              <w:t>assessment norming</w:t>
            </w:r>
          </w:p>
        </w:tc>
      </w:tr>
    </w:tbl>
    <w:tbl>
      <w:tblPr>
        <w:tblW w:type="auto" w:w="0"/>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10656"/>
      </w:tblGrid>
      <w:tr>
        <w:tc>
          <w:tcPr>
            <w:tcW w:type="dxa" w:w="10656"/>
            <w:shd w:val="clear" w:color="auto" w:fill="FFFFFF"/>
          </w:tcPr>
          <w:p>
            <w:pPr>
              <w:spacing w:after="60" w:before="20"/>
            </w:pPr>
            <w:r/>
            <w:r>
              <w:rPr>
                <w:rFonts w:ascii="Arial" w:hAnsi="Arial"/>
                <w:b/>
                <w:color w:val="1B2A5C"/>
                <w:sz w:val="24"/>
              </w:rPr>
              <w:t>“A student writes three words in August and three sentences in December. That's enormous growth and it's still below grade level. When we norm the checkpoints — are we scoring growth, or proficiency? And if it's proficiency, what do we do with the growth so it isn't invisible?”</w:t>
            </w:r>
          </w:p>
          <w:p>
            <w:pPr>
              <w:spacing w:after="60" w:before="20"/>
            </w:pPr>
            <w:r>
              <w:rPr>
                <w:rFonts w:ascii="Arial" w:hAnsi="Arial"/>
                <w:b w:val="0"/>
                <w:color w:val="333333"/>
                <w:sz w:val="6"/>
              </w:rPr>
            </w:r>
          </w:p>
          <w:p>
            <w:pPr>
              <w:spacing w:after="60" w:before="20"/>
            </w:pPr>
            <w:r>
              <w:rPr>
                <w:rFonts w:ascii="Arial" w:hAnsi="Arial"/>
                <w:b/>
                <w:color w:val="2A9D8F"/>
                <w:sz w:val="17"/>
              </w:rPr>
              <w:t>WHY THIS ONE</w:t>
            </w:r>
          </w:p>
          <w:p>
            <w:pPr>
              <w:spacing w:after="60" w:before="20"/>
            </w:pPr>
            <w:r>
              <w:rPr>
                <w:rFonts w:ascii="Arial" w:hAnsi="Arial"/>
                <w:b w:val="0"/>
                <w:color w:val="333333"/>
                <w:sz w:val="18"/>
              </w:rPr>
              <w:t>This is the question A-G forces and it has no clean answer. It is also where the Day-1 / Day-87 baseline pair becomes an OFFER rather than a display — a way to make growth visible alongside a proficiency score instead of in place of one.</w:t>
            </w:r>
          </w:p>
        </w:tc>
      </w:tr>
    </w:tbl>
    <w:p>
      <w:pPr>
        <w:spacing w:after="100" w:before="0"/>
      </w:pPr>
      <w:r>
        <w:rPr>
          <w:rFonts w:ascii="Arial" w:hAnsi="Arial"/>
          <w:b w:val="0"/>
          <w:i w:val="0"/>
          <w:color w:val="333333"/>
          <w:sz w:val="6"/>
        </w:rPr>
      </w:r>
    </w:p>
    <w:tbl>
      <w:tblPr>
        <w:tblW w:type="auto" w:w="0"/>
        <w:tblLayout w:type="fixed"/>
        <w:tblLook w:firstColumn="1" w:firstRow="1" w:lastColumn="0" w:lastRow="0" w:noHBand="0" w:noVBand="1" w:val="04A0"/>
        <w:tblBorders>
          <w:top w:val="single" w:sz="8" w:color="1B2A5C"/>
          <w:left w:val="single" w:sz="8" w:color="1B2A5C"/>
          <w:bottom w:val="single" w:sz="8" w:color="1B2A5C"/>
          <w:right w:val="single" w:sz="8" w:color="1B2A5C"/>
          <w:insideH w:val="single" w:sz="8" w:color="1B2A5C"/>
          <w:insideV w:val="single" w:sz="8" w:color="1B2A5C"/>
        </w:tblBorders>
      </w:tblPr>
      <w:tblGrid>
        <w:gridCol w:w="5328"/>
        <w:gridCol w:w="5328"/>
      </w:tblGrid>
      <w:tr>
        <w:tc>
          <w:tcPr>
            <w:tcW w:type="dxa" w:w="3312"/>
            <w:shd w:val="clear" w:color="auto" w:fill="1B2A5C"/>
          </w:tcPr>
          <w:p>
            <w:pPr>
              <w:spacing w:after="40" w:before="20"/>
            </w:pPr>
            <w:r/>
            <w:r>
              <w:rPr>
                <w:rFonts w:ascii="Arial" w:hAnsi="Arial"/>
                <w:b/>
                <w:color w:val="FFFFFF"/>
                <w:sz w:val="24"/>
              </w:rPr>
              <w:t>SHERI</w:t>
            </w:r>
          </w:p>
        </w:tc>
        <w:tc>
          <w:tcPr>
            <w:tcW w:type="dxa" w:w="7344"/>
            <w:shd w:val="clear" w:color="auto" w:fill="1B2A5C"/>
          </w:tcPr>
          <w:p>
            <w:pPr>
              <w:spacing w:after="40" w:before="20"/>
              <w:jc w:val="right"/>
            </w:pPr>
            <w:r/>
            <w:r>
              <w:rPr>
                <w:rFonts w:ascii="Arial" w:hAnsi="Arial"/>
                <w:b w:val="0"/>
                <w:color w:val="DDE0E8"/>
                <w:sz w:val="18"/>
              </w:rPr>
              <w:t>rotations · reciprocal teaching · collaborative structures</w:t>
            </w:r>
          </w:p>
        </w:tc>
      </w:tr>
    </w:tbl>
    <w:tbl>
      <w:tblPr>
        <w:tblW w:type="auto" w:w="0"/>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10656"/>
      </w:tblGrid>
      <w:tr>
        <w:tc>
          <w:tcPr>
            <w:tcW w:type="dxa" w:w="10656"/>
            <w:shd w:val="clear" w:color="auto" w:fill="FFFFFF"/>
          </w:tcPr>
          <w:p>
            <w:pPr>
              <w:spacing w:after="60" w:before="20"/>
            </w:pPr>
            <w:r/>
            <w:r>
              <w:rPr>
                <w:rFonts w:ascii="Arial" w:hAnsi="Arial"/>
                <w:b/>
                <w:color w:val="1B2A5C"/>
                <w:sz w:val="24"/>
              </w:rPr>
              <w:t>“You've run rotations longer than any of us. What makes one stop working in week eight that looked fine in week three?”</w:t>
            </w:r>
          </w:p>
          <w:p>
            <w:pPr>
              <w:spacing w:after="60" w:before="20"/>
            </w:pPr>
            <w:r>
              <w:rPr>
                <w:rFonts w:ascii="Arial" w:hAnsi="Arial"/>
                <w:b w:val="0"/>
                <w:color w:val="333333"/>
                <w:sz w:val="6"/>
              </w:rPr>
            </w:r>
          </w:p>
          <w:p>
            <w:pPr>
              <w:spacing w:after="60" w:before="20"/>
            </w:pPr>
            <w:r>
              <w:rPr>
                <w:rFonts w:ascii="Arial" w:hAnsi="Arial"/>
                <w:b/>
                <w:color w:val="2A9D8F"/>
                <w:sz w:val="17"/>
              </w:rPr>
              <w:t>WHY THIS ONE</w:t>
            </w:r>
          </w:p>
          <w:p>
            <w:pPr>
              <w:spacing w:after="60" w:before="20"/>
            </w:pPr>
            <w:r>
              <w:rPr>
                <w:rFonts w:ascii="Arial" w:hAnsi="Arial"/>
                <w:b w:val="0"/>
                <w:color w:val="333333"/>
                <w:sz w:val="18"/>
              </w:rPr>
              <w:t>Asks for hard-won knowledge rather than opinion. Veterans rarely get asked this because people assume they would have fixed it already. Her answer tells you what to watch for in November — which you cannot know yet.</w:t>
            </w:r>
          </w:p>
          <w:p>
            <w:pPr>
              <w:spacing w:after="60" w:before="20"/>
            </w:pPr>
            <w:r>
              <w:rPr>
                <w:rFonts w:ascii="Arial" w:hAnsi="Arial"/>
                <w:b w:val="0"/>
                <w:color w:val="333333"/>
                <w:sz w:val="6"/>
              </w:rPr>
            </w:r>
          </w:p>
          <w:p>
            <w:pPr>
              <w:spacing w:after="60" w:before="20"/>
            </w:pPr>
            <w:r>
              <w:rPr>
                <w:rFonts w:ascii="Arial" w:hAnsi="Arial"/>
                <w:b/>
                <w:color w:val="2A9D8F"/>
                <w:sz w:val="17"/>
              </w:rPr>
              <w:t>IF IT OPENS</w:t>
            </w:r>
          </w:p>
          <w:p>
            <w:pPr>
              <w:spacing w:after="60" w:before="20"/>
            </w:pPr>
            <w:r>
              <w:rPr>
                <w:rFonts w:ascii="Arial" w:hAnsi="Arial"/>
                <w:b w:val="0"/>
                <w:color w:val="333333"/>
                <w:sz w:val="18"/>
              </w:rPr>
              <w:t>“Does reciprocal teaching live INSIDE a station, or does it need its own block?” You have five containers; reciprocal teaching is a four-role structure that does not obviously fit any of them. Genuine design question, and it is hers.</w:t>
            </w:r>
          </w:p>
        </w:tc>
      </w:tr>
    </w:tbl>
    <w:p>
      <w:pPr>
        <w:spacing w:after="100" w:before="0"/>
      </w:pPr>
      <w:r>
        <w:rPr>
          <w:rFonts w:ascii="Arial" w:hAnsi="Arial"/>
          <w:b w:val="0"/>
          <w:i w:val="0"/>
          <w:color w:val="333333"/>
          <w:sz w:val="6"/>
        </w:rPr>
      </w:r>
    </w:p>
    <w:p>
      <w:pPr>
        <w:pageBreakBefore/>
        <w:spacing w:after="0"/>
      </w:pPr>
      <w:r>
        <w:rPr>
          <w:sz w:val="2"/>
        </w:rPr>
      </w:r>
    </w:p>
    <w:tbl>
      <w:tblPr>
        <w:tblW w:type="auto" w:w="0"/>
        <w:tblLayout w:type="fixed"/>
        <w:tblLook w:firstColumn="1" w:firstRow="1" w:lastColumn="0" w:lastRow="0" w:noHBand="0" w:noVBand="1" w:val="04A0"/>
        <w:tblBorders>
          <w:top w:val="single" w:sz="8" w:color="1B2A5C"/>
          <w:left w:val="single" w:sz="8" w:color="1B2A5C"/>
          <w:bottom w:val="single" w:sz="8" w:color="1B2A5C"/>
          <w:right w:val="single" w:sz="8" w:color="1B2A5C"/>
          <w:insideH w:val="single" w:sz="8" w:color="1B2A5C"/>
          <w:insideV w:val="single" w:sz="8" w:color="1B2A5C"/>
        </w:tblBorders>
      </w:tblPr>
      <w:tblGrid>
        <w:gridCol w:w="5328"/>
        <w:gridCol w:w="5328"/>
      </w:tblGrid>
      <w:tr>
        <w:tc>
          <w:tcPr>
            <w:tcW w:type="dxa" w:w="3312"/>
            <w:shd w:val="clear" w:color="auto" w:fill="1B2A5C"/>
          </w:tcPr>
          <w:p>
            <w:pPr>
              <w:spacing w:after="40" w:before="20"/>
            </w:pPr>
            <w:r/>
            <w:r>
              <w:rPr>
                <w:rFonts w:ascii="Arial" w:hAnsi="Arial"/>
                <w:b/>
                <w:color w:val="FFFFFF"/>
                <w:sz w:val="24"/>
              </w:rPr>
              <w:t>SCOTT</w:t>
            </w:r>
          </w:p>
        </w:tc>
        <w:tc>
          <w:tcPr>
            <w:tcW w:type="dxa" w:w="7344"/>
            <w:shd w:val="clear" w:color="auto" w:fill="1B2A5C"/>
          </w:tcPr>
          <w:p>
            <w:pPr>
              <w:spacing w:after="40" w:before="20"/>
              <w:jc w:val="right"/>
            </w:pPr>
            <w:r/>
            <w:r>
              <w:rPr>
                <w:rFonts w:ascii="Arial" w:hAnsi="Arial"/>
                <w:b w:val="0"/>
                <w:color w:val="DDE0E8"/>
                <w:sz w:val="18"/>
              </w:rPr>
              <w:t>grammar · sentence expansion · evidence-based writing</w:t>
            </w:r>
          </w:p>
        </w:tc>
      </w:tr>
    </w:tbl>
    <w:tbl>
      <w:tblPr>
        <w:tblW w:type="auto" w:w="0"/>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10656"/>
      </w:tblGrid>
      <w:tr>
        <w:tc>
          <w:tcPr>
            <w:tcW w:type="dxa" w:w="10656"/>
            <w:shd w:val="clear" w:color="auto" w:fill="FFFFFF"/>
          </w:tcPr>
          <w:p>
            <w:pPr>
              <w:spacing w:after="60" w:before="20"/>
            </w:pPr>
            <w:r/>
            <w:r>
              <w:rPr>
                <w:rFonts w:ascii="Arial" w:hAnsi="Arial"/>
                <w:b/>
                <w:color w:val="1B2A5C"/>
                <w:sz w:val="24"/>
              </w:rPr>
              <w:t>“What sentence-level work actually shows up in independent writing three months later — and what disappears the moment the scaffold comes off?”</w:t>
            </w:r>
          </w:p>
          <w:p>
            <w:pPr>
              <w:spacing w:after="60" w:before="20"/>
            </w:pPr>
            <w:r>
              <w:rPr>
                <w:rFonts w:ascii="Arial" w:hAnsi="Arial"/>
                <w:b w:val="0"/>
                <w:color w:val="333333"/>
                <w:sz w:val="6"/>
              </w:rPr>
            </w:r>
          </w:p>
          <w:p>
            <w:pPr>
              <w:spacing w:after="60" w:before="20"/>
            </w:pPr>
            <w:r>
              <w:rPr>
                <w:rFonts w:ascii="Arial" w:hAnsi="Arial"/>
                <w:b/>
                <w:color w:val="2A9D8F"/>
                <w:sz w:val="17"/>
              </w:rPr>
              <w:t>WHY THIS ONE</w:t>
            </w:r>
          </w:p>
          <w:p>
            <w:pPr>
              <w:spacing w:after="60" w:before="20"/>
            </w:pPr>
            <w:r>
              <w:rPr>
                <w:rFonts w:ascii="Arial" w:hAnsi="Arial"/>
                <w:b w:val="0"/>
                <w:color w:val="333333"/>
                <w:sz w:val="18"/>
              </w:rPr>
              <w:t>Every grammar teacher has a hard-won answer to this and almost nobody asks. It also directly shapes what belongs on a Daily Page versus what is a one-off worth doing once.</w:t>
            </w:r>
          </w:p>
          <w:p>
            <w:pPr>
              <w:spacing w:after="60" w:before="20"/>
            </w:pPr>
            <w:r>
              <w:rPr>
                <w:rFonts w:ascii="Arial" w:hAnsi="Arial"/>
                <w:b w:val="0"/>
                <w:color w:val="333333"/>
                <w:sz w:val="6"/>
              </w:rPr>
            </w:r>
          </w:p>
          <w:p>
            <w:pPr>
              <w:spacing w:after="60" w:before="20"/>
            </w:pPr>
            <w:r>
              <w:rPr>
                <w:rFonts w:ascii="Arial" w:hAnsi="Arial"/>
                <w:b/>
                <w:color w:val="2A9D8F"/>
                <w:sz w:val="17"/>
              </w:rPr>
              <w:t>IF IT OPENS</w:t>
            </w:r>
          </w:p>
          <w:p>
            <w:pPr>
              <w:spacing w:after="60" w:before="20"/>
            </w:pPr>
            <w:r>
              <w:rPr>
                <w:rFonts w:ascii="Arial" w:hAnsi="Arial"/>
                <w:b w:val="0"/>
                <w:color w:val="333333"/>
                <w:sz w:val="18"/>
              </w:rPr>
              <w:t>“We teach CEE for argument and CEES for literary analysis. Does two frames clarify genre, or just double the load?” You genuinely have not settled this, and he will have a view.</w:t>
            </w:r>
          </w:p>
        </w:tc>
      </w:tr>
    </w:tbl>
    <w:p>
      <w:pPr>
        <w:spacing w:after="100" w:before="0"/>
      </w:pPr>
      <w:r>
        <w:rPr>
          <w:rFonts w:ascii="Arial" w:hAnsi="Arial"/>
          <w:b w:val="0"/>
          <w:i w:val="0"/>
          <w:color w:val="333333"/>
          <w:sz w:val="6"/>
        </w:rPr>
      </w:r>
    </w:p>
    <w:tbl>
      <w:tblPr>
        <w:tblW w:type="auto" w:w="0"/>
        <w:tblLayout w:type="fixed"/>
        <w:tblLook w:firstColumn="1" w:firstRow="1" w:lastColumn="0" w:lastRow="0" w:noHBand="0" w:noVBand="1" w:val="04A0"/>
        <w:tblBorders>
          <w:top w:val="single" w:sz="8" w:color="1B2A5C"/>
          <w:left w:val="single" w:sz="8" w:color="1B2A5C"/>
          <w:bottom w:val="single" w:sz="8" w:color="1B2A5C"/>
          <w:right w:val="single" w:sz="8" w:color="1B2A5C"/>
          <w:insideH w:val="single" w:sz="8" w:color="1B2A5C"/>
          <w:insideV w:val="single" w:sz="8" w:color="1B2A5C"/>
        </w:tblBorders>
      </w:tblPr>
      <w:tblGrid>
        <w:gridCol w:w="5328"/>
        <w:gridCol w:w="5328"/>
      </w:tblGrid>
      <w:tr>
        <w:tc>
          <w:tcPr>
            <w:tcW w:type="dxa" w:w="3312"/>
            <w:shd w:val="clear" w:color="auto" w:fill="1B2A5C"/>
          </w:tcPr>
          <w:p>
            <w:pPr>
              <w:spacing w:after="40" w:before="20"/>
            </w:pPr>
            <w:r/>
            <w:r>
              <w:rPr>
                <w:rFonts w:ascii="Arial" w:hAnsi="Arial"/>
                <w:b/>
                <w:color w:val="FFFFFF"/>
                <w:sz w:val="24"/>
              </w:rPr>
              <w:t>AARON</w:t>
            </w:r>
          </w:p>
        </w:tc>
        <w:tc>
          <w:tcPr>
            <w:tcW w:type="dxa" w:w="7344"/>
            <w:shd w:val="clear" w:color="auto" w:fill="1B2A5C"/>
          </w:tcPr>
          <w:p>
            <w:pPr>
              <w:spacing w:after="40" w:before="20"/>
              <w:jc w:val="right"/>
            </w:pPr>
            <w:r/>
            <w:r>
              <w:rPr>
                <w:rFonts w:ascii="Arial" w:hAnsi="Arial"/>
                <w:b w:val="0"/>
                <w:color w:val="DDE0E8"/>
                <w:sz w:val="18"/>
              </w:rPr>
              <w:t>program systems · culture · activism and creativity</w:t>
            </w:r>
          </w:p>
        </w:tc>
      </w:tr>
    </w:tbl>
    <w:tbl>
      <w:tblPr>
        <w:tblW w:type="auto" w:w="0"/>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10656"/>
      </w:tblGrid>
      <w:tr>
        <w:tc>
          <w:tcPr>
            <w:tcW w:type="dxa" w:w="10656"/>
            <w:shd w:val="clear" w:color="auto" w:fill="FFFFFF"/>
          </w:tcPr>
          <w:p>
            <w:pPr>
              <w:spacing w:after="60" w:before="20"/>
            </w:pPr>
            <w:r/>
            <w:r>
              <w:rPr>
                <w:rFonts w:ascii="Arial" w:hAnsi="Arial"/>
                <w:b/>
                <w:color w:val="1B2A5C"/>
                <w:sz w:val="24"/>
              </w:rPr>
              <w:t>“What makes a system survive a teacher leaving?”</w:t>
            </w:r>
          </w:p>
          <w:p>
            <w:pPr>
              <w:spacing w:after="60" w:before="20"/>
            </w:pPr>
            <w:r>
              <w:rPr>
                <w:rFonts w:ascii="Arial" w:hAnsi="Arial"/>
                <w:b w:val="0"/>
                <w:color w:val="333333"/>
                <w:sz w:val="6"/>
              </w:rPr>
            </w:r>
          </w:p>
          <w:p>
            <w:pPr>
              <w:spacing w:after="60" w:before="20"/>
            </w:pPr>
            <w:r>
              <w:rPr>
                <w:rFonts w:ascii="Arial" w:hAnsi="Arial"/>
                <w:b/>
                <w:color w:val="2A9D8F"/>
                <w:sz w:val="17"/>
              </w:rPr>
              <w:t>WHY THIS ONE</w:t>
            </w:r>
          </w:p>
          <w:p>
            <w:pPr>
              <w:spacing w:after="60" w:before="20"/>
            </w:pPr>
            <w:r>
              <w:rPr>
                <w:rFonts w:ascii="Arial" w:hAnsi="Arial"/>
                <w:b w:val="0"/>
                <w:color w:val="333333"/>
                <w:sz w:val="18"/>
              </w:rPr>
              <w:t>Program-level, which is his seat. And it names the honest risk in what we have built: if the five forms only work because one person built them, they are not a system — they are a personal practice with good documentation.</w:t>
            </w:r>
          </w:p>
          <w:p>
            <w:pPr>
              <w:spacing w:after="60" w:before="20"/>
            </w:pPr>
            <w:r>
              <w:rPr>
                <w:rFonts w:ascii="Arial" w:hAnsi="Arial"/>
                <w:b w:val="0"/>
                <w:color w:val="333333"/>
                <w:sz w:val="6"/>
              </w:rPr>
            </w:r>
          </w:p>
          <w:p>
            <w:pPr>
              <w:spacing w:after="60" w:before="20"/>
            </w:pPr>
            <w:r>
              <w:rPr>
                <w:rFonts w:ascii="Arial" w:hAnsi="Arial"/>
                <w:b/>
                <w:color w:val="2A9D8F"/>
                <w:sz w:val="17"/>
              </w:rPr>
              <w:t>IF IT OPENS</w:t>
            </w:r>
          </w:p>
          <w:p>
            <w:pPr>
              <w:spacing w:after="60" w:before="20"/>
            </w:pPr>
            <w:r>
              <w:rPr>
                <w:rFonts w:ascii="Arial" w:hAnsi="Arial"/>
                <w:b w:val="0"/>
                <w:color w:val="333333"/>
                <w:sz w:val="18"/>
              </w:rPr>
              <w:t>“Where does activism and creativity belong in an A-G course — is it the content, or is it the assessment?” That decides whether the culture work is decoration or load-bearing.</w:t>
            </w:r>
          </w:p>
        </w:tc>
      </w:tr>
    </w:tbl>
    <w:p>
      <w:pPr>
        <w:spacing w:after="100" w:before="0"/>
      </w:pPr>
      <w:r>
        <w:rPr>
          <w:rFonts w:ascii="Arial" w:hAnsi="Arial"/>
          <w:b w:val="0"/>
          <w:i w:val="0"/>
          <w:color w:val="333333"/>
          <w:sz w:val="6"/>
        </w:rPr>
      </w:r>
    </w:p>
    <w:tbl>
      <w:tblPr>
        <w:tblW w:type="auto" w:w="0"/>
        <w:tblLayout w:type="fixed"/>
        <w:tblLook w:firstColumn="1" w:firstRow="1" w:lastColumn="0" w:lastRow="0" w:noHBand="0" w:noVBand="1" w:val="04A0"/>
        <w:tblBorders>
          <w:top w:val="single" w:sz="8" w:color="1B2A5C"/>
          <w:left w:val="single" w:sz="8" w:color="1B2A5C"/>
          <w:bottom w:val="single" w:sz="8" w:color="1B2A5C"/>
          <w:right w:val="single" w:sz="8" w:color="1B2A5C"/>
          <w:insideH w:val="single" w:sz="8" w:color="1B2A5C"/>
          <w:insideV w:val="single" w:sz="8" w:color="1B2A5C"/>
        </w:tblBorders>
      </w:tblPr>
      <w:tblGrid>
        <w:gridCol w:w="5328"/>
        <w:gridCol w:w="5328"/>
      </w:tblGrid>
      <w:tr>
        <w:tc>
          <w:tcPr>
            <w:tcW w:type="dxa" w:w="3312"/>
            <w:shd w:val="clear" w:color="auto" w:fill="1B2A5C"/>
          </w:tcPr>
          <w:p>
            <w:pPr>
              <w:spacing w:after="40" w:before="20"/>
            </w:pPr>
            <w:r/>
            <w:r>
              <w:rPr>
                <w:rFonts w:ascii="Arial" w:hAnsi="Arial"/>
                <w:b/>
                <w:color w:val="FFFFFF"/>
                <w:sz w:val="24"/>
              </w:rPr>
              <w:t>ADMIN</w:t>
            </w:r>
          </w:p>
        </w:tc>
        <w:tc>
          <w:tcPr>
            <w:tcW w:type="dxa" w:w="7344"/>
            <w:shd w:val="clear" w:color="auto" w:fill="1B2A5C"/>
          </w:tcPr>
          <w:p>
            <w:pPr>
              <w:spacing w:after="40" w:before="20"/>
              <w:jc w:val="right"/>
            </w:pPr>
            <w:r/>
            <w:r>
              <w:rPr>
                <w:rFonts w:ascii="Arial" w:hAnsi="Arial"/>
                <w:b w:val="0"/>
                <w:color w:val="DDE0E8"/>
                <w:sz w:val="18"/>
              </w:rPr>
              <w:t>course credit · ELA pathway · graduation requirements</w:t>
            </w:r>
          </w:p>
        </w:tc>
      </w:tr>
    </w:tbl>
    <w:tbl>
      <w:tblPr>
        <w:tblW w:type="auto" w:w="0"/>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10656"/>
      </w:tblGrid>
      <w:tr>
        <w:tc>
          <w:tcPr>
            <w:tcW w:type="dxa" w:w="10656"/>
            <w:shd w:val="clear" w:color="auto" w:fill="FFFFFF"/>
          </w:tcPr>
          <w:p>
            <w:pPr>
              <w:spacing w:after="60" w:before="20"/>
            </w:pPr>
            <w:r/>
            <w:r>
              <w:rPr>
                <w:rFonts w:ascii="Arial" w:hAnsi="Arial"/>
                <w:b/>
                <w:color w:val="1B2A5C"/>
                <w:sz w:val="24"/>
              </w:rPr>
              <w:t>“Do Global Literacy and ELD/ALD classes earn credit for ELA?”</w:t>
            </w:r>
          </w:p>
          <w:p>
            <w:pPr>
              <w:spacing w:after="60" w:before="20"/>
            </w:pPr>
            <w:r/>
            <w:r>
              <w:rPr>
                <w:rFonts w:ascii="Arial" w:hAnsi="Arial"/>
                <w:b/>
                <w:color w:val="1B2A5C"/>
                <w:sz w:val="24"/>
              </w:rPr>
              <w:t>“Why is my Period 1 class listed as UCCI Heart of Education when the CTE course should be reflected only in Period 3?”</w:t>
            </w:r>
          </w:p>
        </w:tc>
      </w:tr>
    </w:tbl>
    <w:p>
      <w:pPr>
        <w:spacing w:after="40" w:before="0"/>
      </w:pPr>
      <w:r>
        <w:rPr>
          <w:rFonts w:ascii="Arial" w:hAnsi="Arial"/>
          <w:b w:val="0"/>
          <w:i w:val="0"/>
          <w:color w:val="333333"/>
          <w:sz w:val="2"/>
        </w:rPr>
      </w:r>
    </w:p>
    <w:tbl>
      <w:tblPr>
        <w:tblW w:type="auto" w:w="0"/>
        <w:tblLayout w:type="fixed"/>
        <w:tblLook w:firstColumn="1" w:firstRow="1" w:lastColumn="0" w:lastRow="0" w:noHBand="0" w:noVBand="1" w:val="04A0"/>
        <w:tblBorders>
          <w:top w:val="single" w:sz="8" w:color="1B2A5C"/>
          <w:left w:val="single" w:sz="8" w:color="1B2A5C"/>
          <w:bottom w:val="single" w:sz="8" w:color="1B2A5C"/>
          <w:right w:val="single" w:sz="8" w:color="1B2A5C"/>
          <w:insideH w:val="single" w:sz="8" w:color="1B2A5C"/>
          <w:insideV w:val="single" w:sz="8" w:color="1B2A5C"/>
        </w:tblBorders>
      </w:tblPr>
      <w:tblGrid>
        <w:gridCol w:w="5328"/>
        <w:gridCol w:w="5328"/>
      </w:tblGrid>
      <w:tr>
        <w:tc>
          <w:tcPr>
            <w:tcW w:type="dxa" w:w="3312"/>
            <w:shd w:val="clear" w:color="auto" w:fill="1B2A5C"/>
          </w:tcPr>
          <w:p>
            <w:pPr>
              <w:spacing w:after="40" w:before="20"/>
            </w:pPr>
            <w:r/>
            <w:r>
              <w:rPr>
                <w:rFonts w:ascii="Arial" w:hAnsi="Arial"/>
                <w:b/>
                <w:color w:val="FFFFFF"/>
                <w:sz w:val="24"/>
              </w:rPr>
              <w:t>DR. WILTSHIRE</w:t>
            </w:r>
          </w:p>
        </w:tc>
        <w:tc>
          <w:tcPr>
            <w:tcW w:type="dxa" w:w="7344"/>
            <w:shd w:val="clear" w:color="auto" w:fill="1B2A5C"/>
          </w:tcPr>
          <w:p>
            <w:pPr>
              <w:spacing w:after="40" w:before="20"/>
              <w:jc w:val="right"/>
            </w:pPr>
            <w:r/>
            <w:r>
              <w:rPr>
                <w:rFonts w:ascii="Arial" w:hAnsi="Arial"/>
                <w:b w:val="0"/>
                <w:color w:val="DDE0E8"/>
                <w:sz w:val="18"/>
              </w:rPr>
              <w:t>course flow · fall-to-spring placement · student continuity</w:t>
            </w:r>
          </w:p>
        </w:tc>
      </w:tr>
    </w:tbl>
    <w:tbl>
      <w:tblPr>
        <w:tblW w:type="auto" w:w="0"/>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10656"/>
      </w:tblGrid>
      <w:tr>
        <w:tc>
          <w:tcPr>
            <w:tcW w:type="dxa" w:w="10656"/>
            <w:shd w:val="clear" w:color="auto" w:fill="FFFFFF"/>
          </w:tcPr>
          <w:p>
            <w:pPr>
              <w:spacing w:after="60" w:before="20"/>
            </w:pPr>
            <w:r/>
            <w:r>
              <w:rPr>
                <w:rFonts w:ascii="Arial" w:hAnsi="Arial"/>
                <w:b/>
                <w:color w:val="1B2A5C"/>
                <w:sz w:val="24"/>
              </w:rPr>
              <w:t>“How are students flowing into the courses in fall versus spring?”</w:t>
            </w:r>
          </w:p>
          <w:p>
            <w:pPr>
              <w:spacing w:after="60" w:before="20"/>
            </w:pPr>
            <w:r>
              <w:rPr>
                <w:rFonts w:ascii="Arial" w:hAnsi="Arial"/>
                <w:b/>
                <w:color w:val="2A9D8F"/>
                <w:sz w:val="17"/>
              </w:rPr>
              <w:t>FOLLOW-UPS</w:t>
            </w:r>
          </w:p>
          <w:p>
            <w:pPr>
              <w:spacing w:after="60" w:before="20"/>
            </w:pPr>
            <w:r>
              <w:rPr>
                <w:rFonts w:ascii="Arial" w:hAnsi="Arial"/>
                <w:b w:val="0"/>
                <w:color w:val="333333"/>
                <w:sz w:val="18"/>
              </w:rPr>
              <w:t>“How are students moved from fall courses into spring courses?”</w:t>
            </w:r>
          </w:p>
          <w:p>
            <w:pPr>
              <w:spacing w:after="60" w:before="20"/>
            </w:pPr>
            <w:r>
              <w:rPr>
                <w:rFonts w:ascii="Arial" w:hAnsi="Arial"/>
                <w:b w:val="0"/>
                <w:color w:val="333333"/>
                <w:sz w:val="18"/>
              </w:rPr>
              <w:t>“Does Ms. Sevenbergen have the same students all year?”</w:t>
            </w:r>
          </w:p>
        </w:tc>
      </w:tr>
    </w:tbl>
    <w:p>
      <w:pPr>
        <w:spacing w:after="40" w:before="0"/>
      </w:pPr>
      <w:r>
        <w:rPr>
          <w:rFonts w:ascii="Arial" w:hAnsi="Arial"/>
          <w:b w:val="0"/>
          <w:i w:val="0"/>
          <w:color w:val="333333"/>
          <w:sz w:val="2"/>
        </w:rPr>
      </w:r>
    </w:p>
    <w:tbl>
      <w:tblPr>
        <w:tblW w:type="auto" w:w="0"/>
        <w:tblLayout w:type="fixed"/>
        <w:tblLook w:firstColumn="1" w:firstRow="1" w:lastColumn="0" w:lastRow="0" w:noHBand="0" w:noVBand="1" w:val="04A0"/>
        <w:tblBorders>
          <w:top w:val="single" w:sz="8" w:color="2A9D8F"/>
          <w:left w:val="single" w:sz="8" w:color="2A9D8F"/>
          <w:bottom w:val="single" w:sz="8" w:color="2A9D8F"/>
          <w:right w:val="single" w:sz="8" w:color="2A9D8F"/>
          <w:insideH w:val="single" w:sz="8" w:color="2A9D8F"/>
          <w:insideV w:val="single" w:sz="8" w:color="2A9D8F"/>
        </w:tblBorders>
      </w:tblPr>
      <w:tblGrid>
        <w:gridCol w:w="10656"/>
      </w:tblGrid>
      <w:tr>
        <w:tc>
          <w:tcPr>
            <w:tcW w:type="dxa" w:w="10656"/>
            <w:shd w:val="clear" w:color="auto" w:fill="F4F7F6"/>
          </w:tcPr>
          <w:p>
            <w:pPr>
              <w:spacing w:after="40" w:before="20"/>
            </w:pPr>
            <w:r/>
            <w:r>
              <w:rPr>
                <w:rFonts w:ascii="Arial" w:hAnsi="Arial"/>
                <w:b/>
                <w:color w:val="1B2A5C"/>
                <w:sz w:val="20"/>
              </w:rPr>
              <w:t>WHAT I'M ASKING FOR — three real gaps</w:t>
            </w:r>
          </w:p>
          <w:p>
            <w:pPr>
              <w:spacing w:after="40" w:before="20"/>
            </w:pPr>
            <w:r>
              <w:rPr>
                <w:rFonts w:ascii="Arial" w:hAnsi="Arial"/>
                <w:b w:val="0"/>
                <w:color w:val="333333"/>
                <w:sz w:val="19"/>
              </w:rPr>
              <w:t>1 . ELD 3,4 STATION CARDS. Forms 1–5 do not exist for that course yet. Decks and pages are built; the cards are not. Concrete, dividable, and the biggest true gap.</w:t>
            </w:r>
          </w:p>
          <w:p>
            <w:pPr>
              <w:spacing w:after="40" w:before="20"/>
            </w:pPr>
            <w:r>
              <w:rPr>
                <w:rFonts w:ascii="Arial" w:hAnsi="Arial"/>
                <w:b w:val="0"/>
                <w:color w:val="333333"/>
                <w:sz w:val="19"/>
              </w:rPr>
              <w:t>2 . ASSESSMENT NORMING. Nobody has scored a Day-44 or Day-87 checkpoint. Norming together is exactly what a team is for, and it cannot be done alone.</w:t>
            </w:r>
          </w:p>
          <w:p>
            <w:pPr>
              <w:spacing w:after="40" w:before="20"/>
            </w:pPr>
            <w:r>
              <w:rPr>
                <w:rFonts w:ascii="Arial" w:hAnsi="Arial"/>
                <w:b w:val="0"/>
                <w:color w:val="333333"/>
                <w:sz w:val="19"/>
              </w:rPr>
              <w:t>3 . THE DO NOW IMAGES. 136 across two courses, 24 done. Divisible — one batch is 73 on its own.</w:t>
            </w:r>
          </w:p>
        </w:tc>
      </w:tr>
    </w:tbl>
    <w:p>
      <w:pPr>
        <w:spacing w:after="80" w:before="0"/>
      </w:pPr>
      <w:r>
        <w:rPr>
          <w:rFonts w:ascii="Arial" w:hAnsi="Arial"/>
          <w:b w:val="0"/>
          <w:i w:val="0"/>
          <w:color w:val="333333"/>
          <w:sz w:val="6"/>
        </w:rPr>
      </w:r>
    </w:p>
    <w:p>
      <w:pPr>
        <w:spacing w:after="0" w:before="0"/>
        <w:jc w:val="center"/>
      </w:pPr>
      <w:r>
        <w:rPr>
          <w:rFonts w:ascii="Arial" w:hAnsi="Arial"/>
          <w:b w:val="0"/>
          <w:i w:val="0"/>
          <w:color w:val="777777"/>
          <w:sz w:val="17"/>
        </w:rPr>
        <w:t>Matt Moody, M.Ed.  ·  Room 150  ·  Hoover High School  ·  LEAD Academy</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