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12" w:color="1B2A5C"/>
          <w:left w:val="single" w:sz="12" w:color="1B2A5C"/>
          <w:bottom w:val="single" w:sz="12" w:color="1B2A5C"/>
          <w:right w:val="single" w:sz="12" w:color="1B2A5C"/>
          <w:insideH w:val="single" w:sz="12" w:color="1B2A5C"/>
          <w:insideV w:val="single" w:sz="12" w:color="1B2A5C"/>
        </w:tblBorders>
      </w:tblPr>
      <w:tblGrid>
        <w:gridCol w:w="10656"/>
      </w:tblGrid>
      <w:tr>
        <w:tc>
          <w:tcPr>
            <w:tcW w:type="dxa" w:w="10656"/>
            <w:shd w:val="clear" w:color="auto" w:fill="1B2A5C"/>
          </w:tcPr>
          <w:p>
            <w:pPr>
              <w:spacing w:after="40" w:before="20"/>
              <w:jc w:val="center"/>
            </w:pPr>
            <w:r/>
            <w:r>
              <w:rPr>
                <w:rFonts w:ascii="Arial" w:hAnsi="Arial"/>
                <w:b/>
                <w:color w:val="FFFFFF"/>
                <w:sz w:val="36"/>
              </w:rPr>
              <w:t>QUESTIONS FOR THE TEAM</w:t>
            </w:r>
          </w:p>
          <w:p>
            <w:pPr>
              <w:spacing w:after="40" w:before="20"/>
              <w:jc w:val="center"/>
            </w:pPr>
            <w:r>
              <w:rPr>
                <w:rFonts w:ascii="Arial" w:hAnsi="Arial"/>
                <w:b w:val="0"/>
                <w:color w:val="DDE0E8"/>
                <w:sz w:val="20"/>
              </w:rPr>
              <w:t>ELD collaboration  ·  July 30–31, 2026  ·  Room 150</w:t>
            </w:r>
          </w:p>
        </w:tc>
      </w:tr>
    </w:tbl>
    <w:p>
      <w:pPr>
        <w:spacing w:after="10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BF7EC"/>
          </w:tcPr>
          <w:p>
            <w:pPr>
              <w:spacing w:after="40" w:before="20"/>
            </w:pPr>
            <w:r/>
            <w:r>
              <w:rPr>
                <w:rFonts w:ascii="Arial" w:hAnsi="Arial"/>
                <w:b/>
                <w:color w:val="1B2A5C"/>
                <w:sz w:val="20"/>
              </w:rPr>
              <w:t>★ THE TENSION UNDER ALL OF THIS</w:t>
            </w:r>
          </w:p>
          <w:p>
            <w:pPr>
              <w:spacing w:after="40" w:before="20"/>
            </w:pPr>
            <w:r>
              <w:rPr>
                <w:rFonts w:ascii="Arial" w:hAnsi="Arial"/>
                <w:b w:val="0"/>
                <w:color w:val="333333"/>
                <w:sz w:val="19"/>
              </w:rPr>
              <w:t>A-G credit means a newcomer's work now gets judged against college-prep standards. A student can grow enormously and still sit below grade level. Everyone in the room knows this and probably nobody has said it out loud yet. The good questions go at that.</w:t>
            </w:r>
          </w:p>
          <w:p>
            <w:pPr>
              <w:spacing w:after="40" w:before="20"/>
            </w:pPr>
            <w:r>
              <w:rPr>
                <w:rFonts w:ascii="Arial" w:hAnsi="Arial"/>
                <w:b w:val="0"/>
                <w:color w:val="333333"/>
                <w:sz w:val="6"/>
              </w:rPr>
            </w:r>
          </w:p>
          <w:p>
            <w:pPr>
              <w:spacing w:after="40" w:before="20"/>
            </w:pPr>
            <w:r>
              <w:rPr>
                <w:rFonts w:ascii="Arial" w:hAnsi="Arial"/>
                <w:b/>
                <w:color w:val="1B2A5C"/>
                <w:sz w:val="19"/>
              </w:rPr>
              <w:t>⚠ ASK THESE BEFORE SHOWING ANY MATERIALS. Questions first makes you a colleague solving a shared problem. Materials first makes you a presenter, and the questions become rhetorical.</w:t>
            </w:r>
          </w:p>
        </w:tc>
      </w:tr>
    </w:tbl>
    <w:p>
      <w:pPr>
        <w:spacing w:after="12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THE WHOLE TEAM</w:t>
            </w:r>
          </w:p>
        </w:tc>
        <w:tc>
          <w:tcPr>
            <w:tcW w:type="dxa" w:w="7344"/>
            <w:shd w:val="clear" w:color="auto" w:fill="1B2A5C"/>
          </w:tcPr>
          <w:p>
            <w:pPr>
              <w:spacing w:after="40" w:before="20"/>
              <w:jc w:val="right"/>
            </w:pPr>
            <w:r/>
            <w:r>
              <w:rPr>
                <w:rFonts w:ascii="Arial" w:hAnsi="Arial"/>
                <w:b w:val="0"/>
                <w:color w:val="DDE0E8"/>
                <w:sz w:val="18"/>
              </w:rPr>
              <w:t>assessment norming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“A student writes three words in August and three sentences in December. That's enormous growth and it's still below grade level. When we norm the checkpoints — are we scoring growth, or proficiency? And if it's proficiency, what do we do with the growth so it isn't invisible?”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This is the question A-G forces and it has no clean answer. It is also where the Day-1 / Day-87 baseline pair becomes an OFFER rather than a display — a way to make growth visible alongside a proficiency score instead of in place of one.</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SHERI</w:t>
            </w:r>
          </w:p>
        </w:tc>
        <w:tc>
          <w:tcPr>
            <w:tcW w:type="dxa" w:w="7344"/>
            <w:shd w:val="clear" w:color="auto" w:fill="1B2A5C"/>
          </w:tcPr>
          <w:p>
            <w:pPr>
              <w:spacing w:after="40" w:before="20"/>
              <w:jc w:val="right"/>
            </w:pPr>
            <w:r/>
            <w:r>
              <w:rPr>
                <w:rFonts w:ascii="Arial" w:hAnsi="Arial"/>
                <w:b w:val="0"/>
                <w:color w:val="DDE0E8"/>
                <w:sz w:val="18"/>
              </w:rPr>
              <w:t>rotations · reciprocal teaching · collaborative structures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“You've run rotations longer than any of us. What makes one stop working in week eight that looked fine in week three?”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Asks for hard-won knowledge rather than opinion. Veterans rarely get asked this because people assume they would have fixed it already. Her answer tells you what to watch for in November — which you cannot know yet.</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“Does reciprocal teaching live INSIDE a station, or does it need its own block?” You have five containers; reciprocal teaching is a four-role structure that does not obviously fit any of them. Genuine design question, and it is hers.</w:t>
            </w:r>
          </w:p>
        </w:tc>
      </w:tr>
    </w:tbl>
    <w:p>
      <w:pPr>
        <w:spacing w:after="100" w:before="0"/>
      </w:pPr>
      <w:r>
        <w:rPr>
          <w:rFonts w:ascii="Arial" w:hAnsi="Arial"/>
          <w:b w:val="0"/>
          <w:i w:val="0"/>
          <w:color w:val="333333"/>
          <w:sz w:val="6"/>
        </w:rPr>
      </w:r>
    </w:p>
    <w:p>
      <w:pPr>
        <w:pageBreakBefore/>
        <w:spacing w:after="0"/>
      </w:pPr>
      <w:r>
        <w:rPr>
          <w:sz w:val="2"/>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SCOTT</w:t>
            </w:r>
          </w:p>
        </w:tc>
        <w:tc>
          <w:tcPr>
            <w:tcW w:type="dxa" w:w="7344"/>
            <w:shd w:val="clear" w:color="auto" w:fill="1B2A5C"/>
          </w:tcPr>
          <w:p>
            <w:pPr>
              <w:spacing w:after="40" w:before="20"/>
              <w:jc w:val="right"/>
            </w:pPr>
            <w:r/>
            <w:r>
              <w:rPr>
                <w:rFonts w:ascii="Arial" w:hAnsi="Arial"/>
                <w:b w:val="0"/>
                <w:color w:val="DDE0E8"/>
                <w:sz w:val="18"/>
              </w:rPr>
              <w:t>grammar · sentence expansion · evidence-based writing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sentence-level work actually shows up in independent writing three months later — and what disappears the moment the scaffold comes off?”</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Every grammar teacher has a hard-won answer to this and almost nobody asks. It also directly shapes what belongs on a Daily Page versus what is a one-off worth doing once.</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“We teach CEE for argument and CEES for literary analysis. Does two frames clarify genre, or just double the load?” You genuinely have not settled this, and he will have a view.</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AARON</w:t>
            </w:r>
          </w:p>
        </w:tc>
        <w:tc>
          <w:tcPr>
            <w:tcW w:type="dxa" w:w="7344"/>
            <w:shd w:val="clear" w:color="auto" w:fill="1B2A5C"/>
          </w:tcPr>
          <w:p>
            <w:pPr>
              <w:spacing w:after="40" w:before="20"/>
              <w:jc w:val="right"/>
            </w:pPr>
            <w:r/>
            <w:r>
              <w:rPr>
                <w:rFonts w:ascii="Arial" w:hAnsi="Arial"/>
                <w:b w:val="0"/>
                <w:color w:val="DDE0E8"/>
                <w:sz w:val="18"/>
              </w:rPr>
              <w:t>program systems · culture · activism and creativity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makes a system survive a teacher leaving?”</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Program-level, which is his seat. And it names the honest risk in what we have built: if the five forms only work because one person built them, they are not a system — they are a personal practice with good documentation.</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“Where does activism and creativity belong in an A-G course — is it the content, or is it the assessment?” That decides whether the culture work is decoration or load-bearing.</w:t>
            </w:r>
          </w:p>
        </w:tc>
      </w:tr>
    </w:tbl>
    <w:p>
      <w:pPr>
        <w:spacing w:after="100" w:before="0"/>
      </w:pPr>
      <w:r>
        <w:rPr>
          <w:rFonts w:ascii="Arial" w:hAnsi="Arial"/>
          <w:b w:val="0"/>
          <w:i w:val="0"/>
          <w:color w:val="333333"/>
          <w:sz w:val="6"/>
        </w:rPr>
      </w:r>
    </w:p>
    <w:p>
      <w:pPr>
        <w:spacing w:after="12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ADMIN</w:t>
            </w:r>
          </w:p>
        </w:tc>
        <w:tc>
          <w:tcPr>
            <w:tcW w:type="dxa" w:w="7344"/>
            <w:shd w:val="clear" w:color="auto" w:fill="1B2A5C"/>
          </w:tcPr>
          <w:p>
            <w:pPr>
              <w:spacing w:after="40" w:before="20"/>
              <w:jc w:val="right"/>
            </w:pPr>
            <w:r/>
            <w:r>
              <w:rPr>
                <w:rFonts w:ascii="Arial" w:hAnsi="Arial"/>
                <w:b w:val="0"/>
                <w:color w:val="DDE0E8"/>
                <w:sz w:val="18"/>
              </w:rPr>
              <w:t>course credit · ELA pathway · graduation requirements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“Do Global Literacy and ELD/ALD classes earn credit for ELA?”</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DR. WILTSHIRE</w:t>
            </w:r>
          </w:p>
        </w:tc>
        <w:tc>
          <w:tcPr>
            <w:tcW w:type="dxa" w:w="7344"/>
            <w:shd w:val="clear" w:color="auto" w:fill="1B2A5C"/>
          </w:tcPr>
          <w:p>
            <w:pPr>
              <w:spacing w:after="40" w:before="20"/>
              <w:jc w:val="right"/>
            </w:pPr>
            <w:r/>
            <w:r>
              <w:rPr>
                <w:rFonts w:ascii="Arial" w:hAnsi="Arial"/>
                <w:b w:val="0"/>
                <w:color w:val="DDE0E8"/>
                <w:sz w:val="18"/>
              </w:rPr>
              <w:t>course flow · fall-to-spring placement · student continuity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“How are students flowing into the courses in fall versus spring?”</w:t>
            </w:r>
          </w:p>
          <w:p>
            <w:pPr>
              <w:spacing w:after="60" w:before="20"/>
            </w:pPr>
            <w:r>
              <w:rPr>
                <w:rFonts w:ascii="Arial" w:hAnsi="Arial"/>
                <w:b/>
                <w:color w:val="2A9D8F"/>
                <w:sz w:val="17"/>
              </w:rPr>
              <w:t>FOLLOW-UPS</w:t>
            </w:r>
          </w:p>
          <w:p>
            <w:pPr>
              <w:spacing w:after="60" w:before="20"/>
            </w:pPr>
            <w:r>
              <w:rPr>
                <w:rFonts w:ascii="Arial" w:hAnsi="Arial"/>
                <w:b w:val="0"/>
                <w:color w:val="333333"/>
                <w:sz w:val="18"/>
              </w:rPr>
              <w:t>“How are students moved from fall courses into spring courses?”</w:t>
            </w:r>
          </w:p>
          <w:p>
            <w:pPr>
              <w:spacing w:after="60" w:before="20"/>
            </w:pPr>
            <w:r>
              <w:rPr>
                <w:rFonts w:ascii="Arial" w:hAnsi="Arial"/>
                <w:b w:val="0"/>
                <w:color w:val="333333"/>
                <w:sz w:val="18"/>
              </w:rPr>
              <w:t>“Does Ms. Sevenbergen have the same students all year?”</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4F7F6"/>
          </w:tcPr>
          <w:p>
            <w:pPr>
              <w:spacing w:after="40" w:before="20"/>
            </w:pPr>
            <w:r/>
            <w:r>
              <w:rPr>
                <w:rFonts w:ascii="Arial" w:hAnsi="Arial"/>
                <w:b/>
                <w:color w:val="1B2A5C"/>
                <w:sz w:val="20"/>
              </w:rPr>
              <w:t>WHAT I'M ASKING FOR — three real gaps</w:t>
            </w:r>
          </w:p>
          <w:p>
            <w:pPr>
              <w:spacing w:after="40" w:before="20"/>
            </w:pPr>
            <w:r>
              <w:rPr>
                <w:rFonts w:ascii="Arial" w:hAnsi="Arial"/>
                <w:b w:val="0"/>
                <w:color w:val="333333"/>
                <w:sz w:val="19"/>
              </w:rPr>
              <w:t>1 . ELD 3,4 STATION CARDS. Forms 1–5 do not exist for that course yet. Decks and pages are built; the cards are not. Concrete, dividable, and the biggest true gap.</w:t>
            </w:r>
          </w:p>
          <w:p>
            <w:pPr>
              <w:spacing w:after="40" w:before="20"/>
            </w:pPr>
            <w:r>
              <w:rPr>
                <w:rFonts w:ascii="Arial" w:hAnsi="Arial"/>
                <w:b w:val="0"/>
                <w:color w:val="333333"/>
                <w:sz w:val="19"/>
              </w:rPr>
              <w:t>2 . ASSESSMENT NORMING. Nobody has scored a Day-44 or Day-87 checkpoint. Norming together is exactly what a team is for, and it cannot be done alone.</w:t>
            </w:r>
          </w:p>
          <w:p>
            <w:pPr>
              <w:spacing w:after="40" w:before="20"/>
            </w:pPr>
            <w:r>
              <w:rPr>
                <w:rFonts w:ascii="Arial" w:hAnsi="Arial"/>
                <w:b w:val="0"/>
                <w:color w:val="333333"/>
                <w:sz w:val="19"/>
              </w:rPr>
              <w:t>3 . THE DO NOW IMAGES. 136 across two courses, 24 done. Divisible — one batch is 73 on its own.</w:t>
            </w:r>
          </w:p>
        </w:tc>
      </w:tr>
    </w:tbl>
    <w:p>
      <w:pPr>
        <w:spacing w:after="80" w:before="0"/>
      </w:pPr>
      <w:r>
        <w:rPr>
          <w:rFonts w:ascii="Arial" w:hAnsi="Arial"/>
          <w:b w:val="0"/>
          <w:i w:val="0"/>
          <w:color w:val="333333"/>
          <w:sz w:val="6"/>
        </w:rPr>
      </w:r>
    </w:p>
    <w:p>
      <w:pPr>
        <w:spacing w:after="0" w:before="0"/>
        <w:jc w:val="center"/>
      </w:pPr>
      <w:r>
        <w:rPr>
          <w:rFonts w:ascii="Arial" w:hAnsi="Arial"/>
          <w:b w:val="0"/>
          <w:i w:val="0"/>
          <w:color w:val="777777"/>
          <w:sz w:val="17"/>
        </w:rPr>
        <w:t>Matt Moody, M.Ed.  ·  Room 150  ·  Hoover High School  ·  LEAD Academy</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