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color w:val="7F7F7F" w:themeColor="text1" w:themeTint="80"/>
        </w:rPr>
        <w:t>100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  <w:t xml:space="preserve">ЧЕСТНАЯ ИГРА (PLAYFAIR) </w:t>
      </w:r>
    </w:p>
    <w:p>
      <w:pPr>
        <w:pStyle w:val="NormalWeb"/>
        <w:shd w:val="clear" w:color="auto" w:fill="FFFFFF"/>
        <w:spacing w:beforeAutospacing="0" w:before="0" w:afterAutospacing="0" w:after="0"/>
        <w:ind w:firstLine="4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ind w:firstLine="400"/>
        <w:jc w:val="both"/>
        <w:rPr/>
      </w:pPr>
      <w:r>
        <w:rPr>
          <w:color w:val="000000"/>
          <w:sz w:val="22"/>
          <w:szCs w:val="22"/>
        </w:rPr>
        <w:t>Шифр Плейфеир использовался в тактических целях британскими вооруженными силами во Второй Англо-Бурской войне и в Первой мировой войне, а также австралийцами и немцами во время Второй Мировой Войны . Причиной использования шифра Плейфера было то, что он достаточно быстр в применении и не требует никакого специального оборудования. Основной целью использования этой системы шифрования была защита важной, но не секретной информации во время ведения боя. К тому времени, когда вражеские криптоаналитики взламывали сообщение, информация уже была бесполезна для них. Использование шифра Плейфера в настоящее время является нецелесообразным, потому что современные переносные компьютеры могут легко взломать шифр в течение нескольких секунд.</w:t>
      </w:r>
    </w:p>
    <w:p>
      <w:pPr>
        <w:pStyle w:val="NormalWeb"/>
        <w:shd w:val="clear" w:color="auto" w:fill="FFFFFF"/>
        <w:spacing w:beforeAutospacing="0" w:before="0" w:afterAutospacing="0" w:after="0"/>
        <w:ind w:firstLine="400"/>
        <w:jc w:val="both"/>
        <w:rPr/>
      </w:pPr>
      <w:r>
        <w:rPr>
          <w:color w:val="000000"/>
          <w:sz w:val="22"/>
          <w:szCs w:val="22"/>
        </w:rPr>
        <w:t>Для шифрования сообщения необходимо разбить его на биграммы (группы из двух символов), при этом, если в биграмме встретятся два одинаковых символа, то между ними добавляется заранее оговоренный вспомогательный символ (в оригинале –</w:t>
      </w:r>
      <w:r>
        <w:rPr>
          <w:rStyle w:val="Appleconvertedspace"/>
          <w:color w:val="000000"/>
          <w:sz w:val="22"/>
          <w:szCs w:val="22"/>
        </w:rPr>
        <w:t> </w:t>
      </w:r>
      <w:r>
        <w:rPr>
          <w:b/>
          <w:bCs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>, для русского алфавита -</w:t>
      </w:r>
      <w:r>
        <w:rPr>
          <w:rStyle w:val="Appleconvertedspace"/>
          <w:color w:val="000000"/>
          <w:sz w:val="22"/>
          <w:szCs w:val="22"/>
        </w:rPr>
        <w:t> </w:t>
      </w:r>
      <w:r>
        <w:rPr>
          <w:b/>
          <w:bCs/>
          <w:color w:val="000000"/>
          <w:sz w:val="22"/>
          <w:szCs w:val="22"/>
        </w:rPr>
        <w:t>Я</w:t>
      </w:r>
      <w:r>
        <w:rPr>
          <w:color w:val="000000"/>
          <w:sz w:val="22"/>
          <w:szCs w:val="22"/>
        </w:rPr>
        <w:t>). Например, «зашифрованное сообщение» становится «за ши фр ов ан но ес о</w:t>
      </w:r>
      <w:r>
        <w:rPr>
          <w:b/>
          <w:bCs/>
          <w:color w:val="000000"/>
          <w:sz w:val="22"/>
          <w:szCs w:val="22"/>
        </w:rPr>
        <w:t>Я</w:t>
      </w:r>
      <w:r>
        <w:rPr>
          <w:rStyle w:val="Appleconverted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об ще ни е</w:t>
      </w:r>
      <w:r>
        <w:rPr>
          <w:b/>
          <w:bCs/>
          <w:color w:val="000000"/>
          <w:sz w:val="22"/>
          <w:szCs w:val="22"/>
        </w:rPr>
        <w:t>Я</w:t>
      </w:r>
      <w:r>
        <w:rPr>
          <w:color w:val="000000"/>
          <w:sz w:val="22"/>
          <w:szCs w:val="22"/>
        </w:rPr>
        <w:t xml:space="preserve">». </w:t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rPr/>
      </w:pPr>
      <w:r>
        <w:rPr/>
        <w:drawing>
          <wp:inline distT="0" distB="0" distL="0" distR="3175">
            <wp:extent cx="1711960" cy="1201420"/>
            <wp:effectExtent l="0" t="0" r="0" b="0"/>
            <wp:docPr id="1" name="Рисунок 1" descr="https://sites.google.com/site/anisimovkhv/_/rsrc/1393415445331/learning/kripto/lecture/tema4/shifr_playf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ites.google.com/site/anisimovkhv/_/rsrc/1393415445331/learning/kripto/lecture/tema4/shifr_playfai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0"/>
        <w:ind w:firstLine="400"/>
        <w:jc w:val="both"/>
        <w:rPr/>
      </w:pPr>
      <w:r>
        <w:rPr>
          <w:color w:val="000000"/>
          <w:sz w:val="22"/>
          <w:szCs w:val="22"/>
        </w:rPr>
        <w:t>Затем, руководствуясь следующими правилами, выполняется зашифровывание пар символов исходного текста:</w:t>
      </w:r>
    </w:p>
    <w:p>
      <w:pPr>
        <w:pStyle w:val="NormalWeb"/>
        <w:shd w:val="clear" w:color="auto" w:fill="FFFFFF"/>
        <w:spacing w:beforeAutospacing="0" w:before="0" w:afterAutospacing="0" w:after="0"/>
        <w:ind w:firstLine="400"/>
        <w:jc w:val="both"/>
        <w:rPr/>
      </w:pPr>
      <w:r>
        <w:rPr>
          <w:color w:val="000000"/>
          <w:sz w:val="22"/>
          <w:szCs w:val="22"/>
        </w:rPr>
        <w:t>1.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>
      <w:pPr>
        <w:pStyle w:val="NormalWeb"/>
        <w:shd w:val="clear" w:color="auto" w:fill="FFFFFF"/>
        <w:spacing w:beforeAutospacing="0" w:before="0" w:afterAutospacing="0" w:after="0"/>
        <w:ind w:firstLine="400"/>
        <w:jc w:val="both"/>
        <w:rPr/>
      </w:pPr>
      <w:r>
        <w:rPr>
          <w:color w:val="000000"/>
          <w:sz w:val="22"/>
          <w:szCs w:val="22"/>
        </w:rPr>
        <w:t>2. Если символы биграммы исходного текста встречаются в одном столбце, то они преобразуются в символы того же столбца, находящимися непосредственно под ними. Если символ является нижним в столбце, то он заменяется на первый символ этого же столбца.</w:t>
      </w:r>
    </w:p>
    <w:p>
      <w:pPr>
        <w:pStyle w:val="NormalWeb"/>
        <w:shd w:val="clear" w:color="auto" w:fill="FFFFFF"/>
        <w:spacing w:beforeAutospacing="0" w:before="0" w:afterAutospacing="0" w:after="0"/>
        <w:ind w:firstLine="400"/>
        <w:jc w:val="both"/>
        <w:rPr/>
      </w:pPr>
      <w:r>
        <w:rPr>
          <w:color w:val="000000"/>
          <w:sz w:val="22"/>
          <w:szCs w:val="22"/>
        </w:rPr>
        <w:t>3.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>
      <w:pPr>
        <w:pStyle w:val="NormalWeb"/>
        <w:shd w:val="clear" w:color="auto" w:fill="FFFFFF"/>
        <w:spacing w:beforeAutospacing="0" w:before="0" w:afterAutospacing="0" w:after="0"/>
        <w:ind w:firstLine="400"/>
        <w:jc w:val="both"/>
        <w:rPr/>
      </w:pPr>
      <w:r>
        <w:rPr>
          <w:color w:val="000000"/>
          <w:sz w:val="22"/>
          <w:szCs w:val="22"/>
        </w:rPr>
        <w:t>Для расшифровки необходимо выполнить действия, противоположные описанным.</w:t>
      </w:r>
    </w:p>
    <w:p>
      <w:pPr>
        <w:pStyle w:val="NormalWeb"/>
        <w:shd w:val="clear" w:color="auto" w:fill="FFFFFF"/>
        <w:spacing w:beforeAutospacing="0" w:before="0" w:afterAutospacing="0" w:after="0"/>
        <w:ind w:firstLine="400"/>
        <w:jc w:val="both"/>
        <w:rPr/>
      </w:pPr>
      <w:r>
        <w:rPr>
          <w:color w:val="000000"/>
          <w:sz w:val="22"/>
          <w:szCs w:val="22"/>
        </w:rPr>
        <w:t>Пример шифрования.</w:t>
      </w:r>
    </w:p>
    <w:p>
      <w:pPr>
        <w:pStyle w:val="NormalWeb"/>
        <w:shd w:val="clear" w:color="auto" w:fill="FFFFFF"/>
        <w:spacing w:beforeAutospacing="0" w:before="0" w:afterAutospacing="0" w:after="0"/>
        <w:ind w:left="800" w:hanging="0"/>
        <w:jc w:val="both"/>
        <w:rPr/>
      </w:pPr>
      <w:r>
        <w:rPr>
          <w:color w:val="000000"/>
          <w:sz w:val="22"/>
          <w:szCs w:val="22"/>
        </w:rPr>
        <w:t>- биграмма «за» формирует прямоугольник – заменяется на «жб»;</w:t>
      </w:r>
    </w:p>
    <w:p>
      <w:pPr>
        <w:pStyle w:val="NormalWeb"/>
        <w:shd w:val="clear" w:color="auto" w:fill="FFFFFF"/>
        <w:spacing w:beforeAutospacing="0" w:before="0" w:afterAutospacing="0" w:after="0"/>
        <w:ind w:left="800" w:hanging="0"/>
        <w:jc w:val="both"/>
        <w:rPr/>
      </w:pPr>
      <w:r>
        <w:rPr>
          <w:color w:val="000000"/>
          <w:sz w:val="22"/>
          <w:szCs w:val="22"/>
        </w:rPr>
        <w:t>- биграмма «ши» находятся в одном столбце – заменяется на «юе»;</w:t>
      </w:r>
    </w:p>
    <w:p>
      <w:pPr>
        <w:pStyle w:val="NormalWeb"/>
        <w:shd w:val="clear" w:color="auto" w:fill="FFFFFF"/>
        <w:spacing w:beforeAutospacing="0" w:before="0" w:afterAutospacing="0" w:after="0"/>
        <w:ind w:left="800" w:hanging="0"/>
        <w:jc w:val="both"/>
        <w:rPr/>
      </w:pPr>
      <w:r>
        <w:rPr>
          <w:color w:val="000000"/>
          <w:sz w:val="22"/>
          <w:szCs w:val="22"/>
        </w:rPr>
        <w:t>- биграмма «фр» находятся в одной строке – заменяется на «хс»;</w:t>
      </w:r>
    </w:p>
    <w:p>
      <w:pPr>
        <w:pStyle w:val="Normal"/>
        <w:ind w:firstLine="709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ind w:firstLine="709"/>
        <w:rPr/>
      </w:pPr>
      <w:r>
        <w:rPr>
          <w:rFonts w:cs="Times New Roman" w:ascii="Times New Roman" w:hAnsi="Times New Roman"/>
          <w:b/>
          <w:color w:val="000000" w:themeColor="text1"/>
        </w:rPr>
        <w:t>ЗАДАНИЕ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ge">
                  <wp:posOffset>7256145</wp:posOffset>
                </wp:positionV>
                <wp:extent cx="1611630" cy="1247140"/>
                <wp:effectExtent l="0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124714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a"/>
                              <w:tblpPr w:bottomFromText="0" w:horzAnchor="margin" w:leftFromText="180" w:rightFromText="180" w:tblpX="0" w:tblpXSpec="right" w:tblpY="11427" w:topFromText="0" w:vertAnchor="page"/>
                              <w:tblW w:w="2538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87"/>
                              <w:gridCol w:w="443"/>
                              <w:gridCol w:w="457"/>
                              <w:gridCol w:w="476"/>
                              <w:gridCol w:w="387"/>
                              <w:gridCol w:w="387"/>
                            </w:tblGrid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г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е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б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р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д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ё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ж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з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й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к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м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н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о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п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с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т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у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ф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х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ц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ч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ш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щ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ъ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ы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ь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0" w:name="__UnoMark__369_1880787948"/>
                                  <w:bookmarkStart w:id="1" w:name="__UnoMark__370_1880787948"/>
                                  <w:bookmarkEnd w:id="0"/>
                                  <w:bookmarkEnd w:id="1"/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э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" w:name="__UnoMark__371_1880787948"/>
                                  <w:bookmarkStart w:id="3" w:name="__UnoMark__372_1880787948"/>
                                  <w:bookmarkEnd w:id="2"/>
                                  <w:bookmarkEnd w:id="3"/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ю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4" w:name="__UnoMark__373_1880787948"/>
                                  <w:bookmarkStart w:id="5" w:name="__UnoMark__374_1880787948"/>
                                  <w:bookmarkEnd w:id="4"/>
                                  <w:bookmarkEnd w:id="5"/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я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6" w:name="__UnoMark__375_1880787948"/>
                                  <w:bookmarkStart w:id="7" w:name="__UnoMark__376_1880787948"/>
                                  <w:bookmarkEnd w:id="6"/>
                                  <w:bookmarkEnd w:id="7"/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8" w:name="__UnoMark__377_1880787948"/>
                                  <w:bookmarkStart w:id="9" w:name="__UnoMark__378_1880787948"/>
                                  <w:bookmarkEnd w:id="8"/>
                                  <w:bookmarkEnd w:id="9"/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0" w:name="__UnoMark__379_1880787948"/>
                                  <w:bookmarkEnd w:id="10"/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6.9pt;height:98.2pt;mso-wrap-distance-left:9pt;mso-wrap-distance-right:9pt;mso-wrap-distance-top:0pt;mso-wrap-distance-bottom:0pt;margin-top:571.35pt;mso-position-vertical-relative:page;margin-left:346pt;mso-position-horizontal:right;mso-position-horizontal-relative:margin">
                <v:textbox inset="0in,0in,0in,0in">
                  <w:txbxContent>
                    <w:tbl>
                      <w:tblPr>
                        <w:tblStyle w:val="aa"/>
                        <w:tblpPr w:bottomFromText="0" w:horzAnchor="margin" w:leftFromText="180" w:rightFromText="180" w:tblpX="0" w:tblpXSpec="right" w:tblpY="11427" w:topFromText="0" w:vertAnchor="page"/>
                        <w:tblW w:w="2538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87"/>
                        <w:gridCol w:w="443"/>
                        <w:gridCol w:w="457"/>
                        <w:gridCol w:w="476"/>
                        <w:gridCol w:w="387"/>
                        <w:gridCol w:w="387"/>
                      </w:tblGrid>
                      <w:tr>
                        <w:trPr>
                          <w:trHeight w:val="304" w:hRule="atLeast"/>
                        </w:trPr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44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4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г</w:t>
                            </w:r>
                          </w:p>
                        </w:tc>
                        <w:tc>
                          <w:tcPr>
                            <w:tcW w:w="4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е</w:t>
                            </w:r>
                          </w:p>
                        </w:tc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б</w:t>
                            </w:r>
                          </w:p>
                        </w:tc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р</w:t>
                            </w:r>
                          </w:p>
                        </w:tc>
                      </w:tr>
                      <w:tr>
                        <w:trPr>
                          <w:trHeight w:val="326" w:hRule="atLeast"/>
                        </w:trPr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44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д</w:t>
                            </w:r>
                          </w:p>
                        </w:tc>
                        <w:tc>
                          <w:tcPr>
                            <w:tcW w:w="4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ё</w:t>
                            </w:r>
                          </w:p>
                        </w:tc>
                        <w:tc>
                          <w:tcPr>
                            <w:tcW w:w="4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ж</w:t>
                            </w:r>
                          </w:p>
                        </w:tc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з</w:t>
                            </w:r>
                          </w:p>
                        </w:tc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и</w:t>
                            </w:r>
                          </w:p>
                        </w:tc>
                      </w:tr>
                      <w:tr>
                        <w:trPr>
                          <w:trHeight w:val="326" w:hRule="atLeast"/>
                        </w:trPr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й</w:t>
                            </w:r>
                          </w:p>
                        </w:tc>
                        <w:tc>
                          <w:tcPr>
                            <w:tcW w:w="44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к</w:t>
                            </w:r>
                          </w:p>
                        </w:tc>
                        <w:tc>
                          <w:tcPr>
                            <w:tcW w:w="4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м</w:t>
                            </w:r>
                          </w:p>
                        </w:tc>
                        <w:tc>
                          <w:tcPr>
                            <w:tcW w:w="4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н</w:t>
                            </w:r>
                          </w:p>
                        </w:tc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о</w:t>
                            </w:r>
                          </w:p>
                        </w:tc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п</w:t>
                            </w: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с</w:t>
                            </w:r>
                          </w:p>
                        </w:tc>
                        <w:tc>
                          <w:tcPr>
                            <w:tcW w:w="44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т</w:t>
                            </w:r>
                          </w:p>
                        </w:tc>
                        <w:tc>
                          <w:tcPr>
                            <w:tcW w:w="4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у</w:t>
                            </w:r>
                          </w:p>
                        </w:tc>
                        <w:tc>
                          <w:tcPr>
                            <w:tcW w:w="4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ф</w:t>
                            </w:r>
                          </w:p>
                        </w:tc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х</w:t>
                            </w:r>
                          </w:p>
                        </w:tc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ц</w:t>
                            </w:r>
                          </w:p>
                        </w:tc>
                      </w:tr>
                      <w:tr>
                        <w:trPr>
                          <w:trHeight w:val="347" w:hRule="atLeast"/>
                        </w:trPr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ч</w:t>
                            </w:r>
                          </w:p>
                        </w:tc>
                        <w:tc>
                          <w:tcPr>
                            <w:tcW w:w="44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ш</w:t>
                            </w:r>
                          </w:p>
                        </w:tc>
                        <w:tc>
                          <w:tcPr>
                            <w:tcW w:w="4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щ</w:t>
                            </w:r>
                          </w:p>
                        </w:tc>
                        <w:tc>
                          <w:tcPr>
                            <w:tcW w:w="4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ъ</w:t>
                            </w:r>
                          </w:p>
                        </w:tc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ы</w:t>
                            </w:r>
                          </w:p>
                        </w:tc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ь</w:t>
                            </w:r>
                          </w:p>
                        </w:tc>
                      </w:tr>
                      <w:tr>
                        <w:trPr>
                          <w:trHeight w:val="347" w:hRule="atLeast"/>
                        </w:trPr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1" w:name="__UnoMark__369_1880787948"/>
                            <w:bookmarkStart w:id="12" w:name="__UnoMark__370_1880787948"/>
                            <w:bookmarkEnd w:id="11"/>
                            <w:bookmarkEnd w:id="12"/>
                            <w:r>
                              <w:rPr>
                                <w:rFonts w:cs="Times New Roman" w:ascii="Times New Roman" w:hAnsi="Times New Roman"/>
                              </w:rPr>
                              <w:t>э</w:t>
                            </w:r>
                          </w:p>
                        </w:tc>
                        <w:tc>
                          <w:tcPr>
                            <w:tcW w:w="44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3" w:name="__UnoMark__371_1880787948"/>
                            <w:bookmarkStart w:id="14" w:name="__UnoMark__372_1880787948"/>
                            <w:bookmarkEnd w:id="13"/>
                            <w:bookmarkEnd w:id="14"/>
                            <w:r>
                              <w:rPr>
                                <w:rFonts w:cs="Times New Roman" w:ascii="Times New Roman" w:hAnsi="Times New Roman"/>
                              </w:rPr>
                              <w:t>ю</w:t>
                            </w:r>
                          </w:p>
                        </w:tc>
                        <w:tc>
                          <w:tcPr>
                            <w:tcW w:w="4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5" w:name="__UnoMark__373_1880787948"/>
                            <w:bookmarkStart w:id="16" w:name="__UnoMark__374_1880787948"/>
                            <w:bookmarkEnd w:id="15"/>
                            <w:bookmarkEnd w:id="16"/>
                            <w:r>
                              <w:rPr>
                                <w:rFonts w:cs="Times New Roman" w:ascii="Times New Roman" w:hAnsi="Times New Roman"/>
                              </w:rPr>
                              <w:t>я</w:t>
                            </w:r>
                          </w:p>
                        </w:tc>
                        <w:tc>
                          <w:tcPr>
                            <w:tcW w:w="4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7" w:name="__UnoMark__375_1880787948"/>
                            <w:bookmarkStart w:id="18" w:name="__UnoMark__376_1880787948"/>
                            <w:bookmarkEnd w:id="17"/>
                            <w:bookmarkEnd w:id="18"/>
                            <w:r>
                              <w:rPr>
                                <w:rFonts w:cs="Times New Roman" w:ascii="Times New Roman" w:hAnsi="Times New Roman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9" w:name="__UnoMark__377_1880787948"/>
                            <w:bookmarkStart w:id="20" w:name="__UnoMark__378_1880787948"/>
                            <w:bookmarkEnd w:id="19"/>
                            <w:bookmarkEnd w:id="20"/>
                            <w:r>
                              <w:rPr>
                                <w:rFonts w:cs="Times New Roman" w:ascii="Times New Roman" w:hAnsi="Times New Roman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3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1" w:name="__UnoMark__379_1880787948"/>
                            <w:bookmarkEnd w:id="21"/>
                            <w:r>
                              <w:rPr>
                                <w:rFonts w:cs="Times New Roman" w:ascii="Times New Roman" w:hAnsi="Times New Roman"/>
                              </w:rPr>
                              <w:t>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left" w:pos="784" w:leader="none"/>
        </w:tabs>
        <w:spacing w:before="0" w:after="0"/>
        <w:rPr/>
      </w:pPr>
      <w:r>
        <w:rPr>
          <w:rFonts w:cs="Times New Roman" w:ascii="Times New Roman" w:hAnsi="Times New Roman"/>
        </w:rPr>
        <w:t xml:space="preserve">Используя шифр </w:t>
      </w:r>
      <w:r>
        <w:rPr>
          <w:rFonts w:cs="Times New Roman" w:ascii="Times New Roman" w:hAnsi="Times New Roman"/>
          <w:lang w:val="en-US"/>
        </w:rPr>
        <w:t>Playfair</w:t>
      </w:r>
      <w:r>
        <w:rPr>
          <w:rFonts w:cs="Times New Roman" w:ascii="Times New Roman" w:hAnsi="Times New Roman"/>
        </w:rPr>
        <w:t xml:space="preserve">, расшифруй следующий шифртекст: </w:t>
      </w:r>
    </w:p>
    <w:p>
      <w:pPr>
        <w:pStyle w:val="Normal"/>
        <w:tabs>
          <w:tab w:val="left" w:pos="784" w:leader="none"/>
        </w:tabs>
        <w:spacing w:before="0" w:after="0"/>
        <w:rPr/>
      </w:pPr>
      <w:r>
        <w:rPr>
          <w:rFonts w:cs="Times New Roman" w:ascii="Times New Roman" w:hAnsi="Times New Roman"/>
          <w:b/>
        </w:rPr>
        <w:t>ЙВ НО АЪ БЕ ХЗ М, ЦШ УЭ АФ РД ЙВ НО АЪ БЕ ЙХ ПЛ ЧЗ ЛС Щ.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369</Words>
  <Characters>2035</Characters>
  <CharactersWithSpaces>2359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2018-10-31T12:09:57Z</dcterms:created>
  <dc:creator>Игорь  </dc:creator>
  <dc:description/>
  <dc:language>ru-RU</dc:language>
  <cp:lastModifiedBy>Игорь  </cp:lastModifiedBy>
  <dcterms:modified xsi:type="dcterms:W3CDTF">2018-10-31T12:10:46Z</dcterms:modified>
  <cp:revision>1</cp:revision>
  <dc:subject/>
  <dc:title/>
</cp:coreProperties>
</file>