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32BE5" w:rsidR="00F32BE5" w:rsidP="00F32BE5" w:rsidRDefault="00F32BE5" w14:paraId="5FEF45F0" w14:textId="77777777">
      <w:pPr>
        <w:numPr>
          <w:ilvl w:val="0"/>
          <w:numId w:val="4"/>
        </w:numPr>
        <w:rPr/>
      </w:pPr>
      <w:r w:rsidRPr="31791A68" w:rsidR="00F32BE5">
        <w:rPr>
          <w:b w:val="1"/>
          <w:bCs w:val="1"/>
        </w:rPr>
        <w:t xml:space="preserve">PURPOSE </w:t>
      </w:r>
    </w:p>
    <w:p w:rsidRPr="00F32BE5" w:rsidR="00F32BE5" w:rsidP="00F32BE5" w:rsidRDefault="00F32BE5" w14:paraId="3B6B0C48" w14:textId="6E248B8C">
      <w:pPr>
        <w:ind w:left="720"/>
      </w:pPr>
      <w:r w:rsidRPr="00F32BE5">
        <w:t xml:space="preserve">This SOP outlines the behavioral, attendance, and floor-related expectations for agents working in </w:t>
      </w:r>
      <w:r w:rsidR="00105AC9">
        <w:t xml:space="preserve">Operations, </w:t>
      </w:r>
      <w:r w:rsidRPr="00F32BE5">
        <w:t>Sales and Telemarketing</w:t>
      </w:r>
      <w:r w:rsidR="00EE414B">
        <w:t xml:space="preserve"> Departments</w:t>
      </w:r>
      <w:r w:rsidRPr="00F32BE5">
        <w:t>. It aims to promote discipline, operational efficiency, and professional conduct, ensuring a consistent and productive work environment.</w:t>
      </w:r>
    </w:p>
    <w:p w:rsidRPr="00F32BE5" w:rsidR="00F32BE5" w:rsidP="00F32BE5" w:rsidRDefault="00F32BE5" w14:paraId="32276F7A" w14:textId="77777777">
      <w:pPr>
        <w:numPr>
          <w:ilvl w:val="0"/>
          <w:numId w:val="4"/>
        </w:numPr>
        <w:rPr>
          <w:b/>
          <w:bCs/>
        </w:rPr>
      </w:pPr>
      <w:r w:rsidRPr="00F32BE5">
        <w:rPr>
          <w:b/>
          <w:bCs/>
        </w:rPr>
        <w:t xml:space="preserve">SCOPE </w:t>
      </w:r>
    </w:p>
    <w:p w:rsidRPr="00F32BE5" w:rsidR="00F32BE5" w:rsidP="00F32BE5" w:rsidRDefault="00F32BE5" w14:paraId="14C30CBC" w14:textId="132ECC63">
      <w:pPr>
        <w:ind w:left="720"/>
      </w:pPr>
      <w:r w:rsidRPr="00F32BE5">
        <w:t xml:space="preserve">This SOP applies to all agents and team leaders operating within the </w:t>
      </w:r>
      <w:r w:rsidR="00A4712B">
        <w:t>Operations,</w:t>
      </w:r>
      <w:r w:rsidR="00A4712B">
        <w:t xml:space="preserve"> </w:t>
      </w:r>
      <w:r w:rsidRPr="00F32BE5">
        <w:t>Sales and Telemarketing departments. It is intended to work in tandem with the Disciplinary Structure SOP (</w:t>
      </w:r>
      <w:r w:rsidRPr="00F32BE5">
        <w:rPr>
          <w:b/>
          <w:bCs/>
        </w:rPr>
        <w:t>HR06-P02</w:t>
      </w:r>
      <w:r w:rsidRPr="00F32BE5">
        <w:t>) to prevent violations and reinforce daily compliance.</w:t>
      </w:r>
    </w:p>
    <w:p w:rsidRPr="00F32BE5" w:rsidR="00F32BE5" w:rsidP="00F32BE5" w:rsidRDefault="00F32BE5" w14:paraId="19CC5553" w14:textId="77777777">
      <w:pPr>
        <w:numPr>
          <w:ilvl w:val="0"/>
          <w:numId w:val="4"/>
        </w:numPr>
        <w:rPr>
          <w:b/>
          <w:bCs/>
        </w:rPr>
      </w:pPr>
      <w:r w:rsidRPr="00F32BE5">
        <w:rPr>
          <w:b/>
          <w:bCs/>
        </w:rPr>
        <w:t>ATTENDANCE &amp; PUNCTUALITY</w:t>
      </w:r>
    </w:p>
    <w:p w:rsidRPr="00F32BE5" w:rsidR="00F32BE5" w:rsidP="00CD1539" w:rsidRDefault="00F32BE5" w14:paraId="4EF22080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All employees must adhere to their assigned shifts as per the official schedule.</w:t>
      </w:r>
    </w:p>
    <w:p w:rsidRPr="00F32BE5" w:rsidR="00F32BE5" w:rsidP="00CD1539" w:rsidRDefault="00F32BE5" w14:paraId="39D5B60D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Employees must log in and out using the designated system. Failure to comply will result in attendance discrepancies.</w:t>
      </w:r>
    </w:p>
    <w:p w:rsidRPr="00F32BE5" w:rsidR="00F32BE5" w:rsidP="00CD1539" w:rsidRDefault="00F32BE5" w14:paraId="56B5EB9C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Agents must log in and be ready to receive calls at least 5 minutes before their scheduled shift.</w:t>
      </w:r>
    </w:p>
    <w:p w:rsidRPr="00F32BE5" w:rsidR="00F32BE5" w:rsidP="00CD1539" w:rsidRDefault="00F32BE5" w14:paraId="1C1CA62D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Late logins, leaving the floor before shift completion without prior approval, or extended breaks without authorization will be logged and reflected in attendance records.</w:t>
      </w:r>
    </w:p>
    <w:p w:rsidRPr="00F32BE5" w:rsidR="00F32BE5" w:rsidP="00CD1539" w:rsidRDefault="00F32BE5" w14:paraId="121FD269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Breaks and lunch schedules must be followed and coordinated to ensure proper floor coverage. Team Leaders/Supervisors may reschedule these based on operational needs (excluding instances where the agent is on a call).</w:t>
      </w:r>
    </w:p>
    <w:p w:rsidR="0064352D" w:rsidP="00CD1539" w:rsidRDefault="0064352D" w14:paraId="7CE4DF47" w14:textId="339E19F9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>
        <w:t xml:space="preserve">Unplanned sick leave must be reported </w:t>
      </w:r>
      <w:r w:rsidR="009A5BC7">
        <w:t>as soon as possible</w:t>
      </w:r>
      <w:r>
        <w:t xml:space="preserve"> before the shift starts, while personal leave must be reported at least 24 hours in advance through the designated escalation process.</w:t>
      </w:r>
    </w:p>
    <w:p w:rsidRPr="00F32BE5" w:rsidR="00F32BE5" w:rsidP="00F32BE5" w:rsidRDefault="00F32BE5" w14:paraId="2F7F8502" w14:textId="77777777">
      <w:pPr>
        <w:numPr>
          <w:ilvl w:val="0"/>
          <w:numId w:val="6"/>
        </w:numPr>
        <w:rPr>
          <w:b/>
          <w:bCs/>
        </w:rPr>
      </w:pPr>
      <w:r w:rsidRPr="00F32BE5">
        <w:rPr>
          <w:b/>
          <w:bCs/>
        </w:rPr>
        <w:t>FLOOR CONDUCT</w:t>
      </w:r>
    </w:p>
    <w:p w:rsidRPr="00F32BE5" w:rsidR="00F32BE5" w:rsidP="00CD1539" w:rsidRDefault="00F32BE5" w14:paraId="4A1E7278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Conversations should be work-related and maintained at a professional volume.</w:t>
      </w:r>
    </w:p>
    <w:p w:rsidRPr="00F32BE5" w:rsidR="00F32BE5" w:rsidP="00CD1539" w:rsidRDefault="00F32BE5" w14:paraId="0D1A5025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lastRenderedPageBreak/>
        <w:t xml:space="preserve">Personal belongings should be kept </w:t>
      </w:r>
      <w:proofErr w:type="gramStart"/>
      <w:r w:rsidRPr="00F32BE5">
        <w:t>minimal</w:t>
      </w:r>
      <w:proofErr w:type="gramEnd"/>
      <w:r w:rsidRPr="00F32BE5">
        <w:t>; workstations must be clean and orderly.</w:t>
      </w:r>
    </w:p>
    <w:p w:rsidRPr="00F32BE5" w:rsidR="00F32BE5" w:rsidP="00CD1539" w:rsidRDefault="00F32BE5" w14:paraId="45815A28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Use of personal mobile phones on the floor is restricted unless authorized by management.</w:t>
      </w:r>
    </w:p>
    <w:p w:rsidRPr="00F32BE5" w:rsidR="00F32BE5" w:rsidP="00CD1539" w:rsidRDefault="00F32BE5" w14:paraId="0E6C8BA6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 xml:space="preserve">Employees must remain at their workstations unless </w:t>
      </w:r>
      <w:proofErr w:type="gramStart"/>
      <w:r w:rsidRPr="00F32BE5">
        <w:t>on</w:t>
      </w:r>
      <w:proofErr w:type="gramEnd"/>
      <w:r w:rsidRPr="00F32BE5">
        <w:t xml:space="preserve"> an approved break.</w:t>
      </w:r>
    </w:p>
    <w:p w:rsidRPr="00F32BE5" w:rsidR="00F32BE5" w:rsidP="00CD1539" w:rsidRDefault="00F32BE5" w14:paraId="75360DFB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When leaving their station, agents must shut down their PC, return their chair to the desk, and ensure their area is left unobstructed.</w:t>
      </w:r>
    </w:p>
    <w:p w:rsidRPr="00F32BE5" w:rsidR="00F32BE5" w:rsidP="00CD1539" w:rsidRDefault="00F32BE5" w14:paraId="35C35C9B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Movement away from the workstation must be approved by a Team Leader or Supervisor.</w:t>
      </w:r>
    </w:p>
    <w:p w:rsidRPr="00F32BE5" w:rsidR="00F32BE5" w:rsidP="00F32BE5" w:rsidRDefault="00F32BE5" w14:paraId="22C47B0E" w14:textId="77777777">
      <w:pPr>
        <w:numPr>
          <w:ilvl w:val="0"/>
          <w:numId w:val="8"/>
        </w:numPr>
        <w:rPr>
          <w:b/>
          <w:bCs/>
        </w:rPr>
      </w:pPr>
      <w:r w:rsidRPr="00F32BE5">
        <w:rPr>
          <w:b/>
          <w:bCs/>
        </w:rPr>
        <w:t>PRODUCTION AREA GUIDELINES (SALES ONLY)</w:t>
      </w:r>
    </w:p>
    <w:p w:rsidRPr="00F32BE5" w:rsidR="00F32BE5" w:rsidP="003534E6" w:rsidRDefault="00F32BE5" w14:paraId="0F2E1E8F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Small snacks are allowed at desks. Full meals must be consumed in break areas.</w:t>
      </w:r>
    </w:p>
    <w:p w:rsidRPr="00F32BE5" w:rsidR="00F32BE5" w:rsidP="00F32BE5" w:rsidRDefault="00F32BE5" w14:paraId="775702A0" w14:textId="77777777">
      <w:pPr>
        <w:numPr>
          <w:ilvl w:val="0"/>
          <w:numId w:val="10"/>
        </w:numPr>
        <w:rPr>
          <w:b/>
          <w:bCs/>
        </w:rPr>
      </w:pPr>
      <w:r w:rsidRPr="00F32BE5">
        <w:rPr>
          <w:b/>
          <w:bCs/>
        </w:rPr>
        <w:t>SYSTEM USAGE &amp; DOWNTIME</w:t>
      </w:r>
    </w:p>
    <w:p w:rsidRPr="00F32BE5" w:rsidR="00F32BE5" w:rsidP="00CD1539" w:rsidRDefault="00F32BE5" w14:paraId="600CBA8B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Technical/system issues must be reported to IT via ticket, and the supervisor notified immediately.</w:t>
      </w:r>
    </w:p>
    <w:p w:rsidRPr="00F32BE5" w:rsidR="00F32BE5" w:rsidP="00CD1539" w:rsidRDefault="00F32BE5" w14:paraId="635D619A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Any unscheduled idle time must be documented in the daily shift summary.</w:t>
      </w:r>
    </w:p>
    <w:p w:rsidRPr="00F32BE5" w:rsidR="00F32BE5" w:rsidP="00F32BE5" w:rsidRDefault="00F32BE5" w14:paraId="10763B7F" w14:textId="77777777">
      <w:pPr>
        <w:numPr>
          <w:ilvl w:val="0"/>
          <w:numId w:val="12"/>
        </w:numPr>
        <w:rPr>
          <w:b/>
          <w:bCs/>
        </w:rPr>
      </w:pPr>
      <w:r w:rsidRPr="00F32BE5">
        <w:rPr>
          <w:b/>
          <w:bCs/>
        </w:rPr>
        <w:t>PERFORMANCE EXPECTATIONS</w:t>
      </w:r>
    </w:p>
    <w:p w:rsidRPr="00F32BE5" w:rsidR="00F32BE5" w:rsidP="00CD1539" w:rsidRDefault="00F32BE5" w14:paraId="22D535DB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Agents must regularly review KPI dashboards (AHT, Quality, Attendance) and take corrective action if performance falls below targets.</w:t>
      </w:r>
    </w:p>
    <w:p w:rsidRPr="00F32BE5" w:rsidR="00F32BE5" w:rsidP="00CD1539" w:rsidRDefault="00F32BE5" w14:paraId="687FC74E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QA evaluations must be reviewed and acknowledged by agents.</w:t>
      </w:r>
    </w:p>
    <w:p w:rsidRPr="00F32BE5" w:rsidR="00F32BE5" w:rsidP="00CD1539" w:rsidRDefault="00F32BE5" w14:paraId="090DF6BF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Participation in coaching sessions is mandatory.</w:t>
      </w:r>
    </w:p>
    <w:p w:rsidRPr="00F32BE5" w:rsidR="00F32BE5" w:rsidP="00CD1539" w:rsidRDefault="00F32BE5" w14:paraId="77BFB714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Team Leaders will provide performance coaching as needed.</w:t>
      </w:r>
    </w:p>
    <w:p w:rsidRPr="00F32BE5" w:rsidR="00F32BE5" w:rsidP="00F32BE5" w:rsidRDefault="00F32BE5" w14:paraId="10DF753A" w14:textId="77777777">
      <w:pPr>
        <w:numPr>
          <w:ilvl w:val="0"/>
          <w:numId w:val="14"/>
        </w:numPr>
        <w:rPr>
          <w:b/>
          <w:bCs/>
        </w:rPr>
      </w:pPr>
      <w:r w:rsidRPr="00F32BE5">
        <w:rPr>
          <w:b/>
          <w:bCs/>
        </w:rPr>
        <w:t>FLOOR SUPERVISION</w:t>
      </w:r>
    </w:p>
    <w:p w:rsidRPr="00F32BE5" w:rsidR="00F32BE5" w:rsidP="00CD1539" w:rsidRDefault="00F32BE5" w14:paraId="67A0E864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Supervisors must complete hourly walkthroughs to ensure compliance and availability.</w:t>
      </w:r>
    </w:p>
    <w:p w:rsidR="00F32BE5" w:rsidP="00CD1539" w:rsidRDefault="00F32BE5" w14:paraId="2300389E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 xml:space="preserve">Any red </w:t>
      </w:r>
      <w:proofErr w:type="gramStart"/>
      <w:r w:rsidRPr="00F32BE5">
        <w:t>flags</w:t>
      </w:r>
      <w:proofErr w:type="gramEnd"/>
      <w:r w:rsidRPr="00F32BE5">
        <w:t xml:space="preserve"> (e.g., long ACW, misuse) must be reported to the Operations Manager.</w:t>
      </w:r>
    </w:p>
    <w:p w:rsidRPr="00F32BE5" w:rsidR="001362AF" w:rsidP="001362AF" w:rsidRDefault="001362AF" w14:paraId="49EE9ECE" w14:textId="77777777">
      <w:pPr>
        <w:tabs>
          <w:tab w:val="left" w:pos="1440"/>
        </w:tabs>
        <w:ind w:left="1440"/>
      </w:pPr>
    </w:p>
    <w:p w:rsidRPr="00F32BE5" w:rsidR="00F32BE5" w:rsidP="00F32BE5" w:rsidRDefault="00F32BE5" w14:paraId="0A6B0205" w14:textId="77777777">
      <w:pPr>
        <w:numPr>
          <w:ilvl w:val="0"/>
          <w:numId w:val="18"/>
        </w:numPr>
        <w:rPr>
          <w:b/>
          <w:bCs/>
        </w:rPr>
      </w:pPr>
      <w:r w:rsidRPr="00F32BE5">
        <w:rPr>
          <w:b/>
          <w:bCs/>
        </w:rPr>
        <w:lastRenderedPageBreak/>
        <w:t>PROFESSIONAL CONDUCT</w:t>
      </w:r>
    </w:p>
    <w:p w:rsidRPr="00F32BE5" w:rsidR="00F32BE5" w:rsidP="00CD1539" w:rsidRDefault="00F32BE5" w14:paraId="4639360F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Employees must comply with the company dress code.</w:t>
      </w:r>
    </w:p>
    <w:p w:rsidRPr="00F32BE5" w:rsidR="00F32BE5" w:rsidP="00CD1539" w:rsidRDefault="00F32BE5" w14:paraId="1BDBB8CA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Misconduct such as harassment, discrimination, or bullying will result in disciplinary action.</w:t>
      </w:r>
    </w:p>
    <w:p w:rsidRPr="00F32BE5" w:rsidR="00F32BE5" w:rsidP="00CD1539" w:rsidRDefault="00F32BE5" w14:paraId="574CE0F8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Confidential information must not be shared. Violations may lead to termination.</w:t>
      </w:r>
    </w:p>
    <w:p w:rsidRPr="00F32BE5" w:rsidR="00F32BE5" w:rsidP="00CD1539" w:rsidRDefault="00F32BE5" w14:paraId="3B5F5DCA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Team collaboration and respectful communication are mandatory.</w:t>
      </w:r>
    </w:p>
    <w:p w:rsidRPr="00F32BE5" w:rsidR="00F32BE5" w:rsidP="00F32BE5" w:rsidRDefault="00F32BE5" w14:paraId="08F5108F" w14:textId="77777777">
      <w:pPr>
        <w:numPr>
          <w:ilvl w:val="0"/>
          <w:numId w:val="20"/>
        </w:numPr>
        <w:rPr>
          <w:b/>
          <w:bCs/>
        </w:rPr>
      </w:pPr>
      <w:r w:rsidRPr="00F32BE5">
        <w:rPr>
          <w:b/>
          <w:bCs/>
        </w:rPr>
        <w:t xml:space="preserve">VIOLATION HANDLING </w:t>
      </w:r>
    </w:p>
    <w:p w:rsidRPr="00F32BE5" w:rsidR="00F32BE5" w:rsidP="00F32BE5" w:rsidRDefault="00F32BE5" w14:paraId="549DE41A" w14:textId="203AC06E">
      <w:pPr>
        <w:ind w:left="720"/>
      </w:pPr>
      <w:r w:rsidRPr="00F32BE5">
        <w:t>Failure to comply with the expectations outlined in this SOP will result in corrective actions as per the Disciplinary Structure SOP (</w:t>
      </w:r>
      <w:r w:rsidRPr="00F32BE5">
        <w:rPr>
          <w:b/>
          <w:bCs/>
        </w:rPr>
        <w:t>HR06-P02</w:t>
      </w:r>
      <w:r w:rsidRPr="00F32BE5">
        <w:t>). Violations may range from verbal warnings to formal deductions or termination, depending on severity and frequency.</w:t>
      </w:r>
    </w:p>
    <w:p w:rsidRPr="00F32BE5" w:rsidR="00F32BE5" w:rsidP="00F32BE5" w:rsidRDefault="00F32BE5" w14:paraId="2BC33376" w14:textId="77777777">
      <w:pPr>
        <w:numPr>
          <w:ilvl w:val="0"/>
          <w:numId w:val="20"/>
        </w:numPr>
        <w:rPr>
          <w:b/>
          <w:bCs/>
        </w:rPr>
      </w:pPr>
      <w:r w:rsidRPr="00F32BE5">
        <w:rPr>
          <w:b/>
          <w:bCs/>
        </w:rPr>
        <w:t xml:space="preserve">ESCALATION PROCESS </w:t>
      </w:r>
    </w:p>
    <w:p w:rsidRPr="00F32BE5" w:rsidR="00F32BE5" w:rsidP="00F32BE5" w:rsidRDefault="00F32BE5" w14:paraId="48448B7E" w14:textId="72E0135F">
      <w:pPr>
        <w:ind w:left="720"/>
      </w:pPr>
      <w:r w:rsidRPr="00F32BE5">
        <w:t>Issues must be reported through the following hierarchy</w:t>
      </w:r>
      <w:r w:rsidR="00CD1539">
        <w:t xml:space="preserve"> as per the </w:t>
      </w:r>
      <w:r w:rsidRPr="00CD1539" w:rsidR="00CD1539">
        <w:t>Communication Policy and Procedure</w:t>
      </w:r>
      <w:r w:rsidR="00CD1539">
        <w:t xml:space="preserve"> (</w:t>
      </w:r>
      <w:r w:rsidRPr="00CD1539" w:rsidR="00CD1539">
        <w:rPr>
          <w:b/>
          <w:bCs/>
        </w:rPr>
        <w:t>HR16-P01</w:t>
      </w:r>
      <w:r w:rsidR="00CD1539">
        <w:rPr>
          <w:b/>
          <w:bCs/>
        </w:rPr>
        <w:t>)</w:t>
      </w:r>
      <w:r w:rsidRPr="00F32BE5">
        <w:t>:</w:t>
      </w:r>
    </w:p>
    <w:p w:rsidRPr="00F32BE5" w:rsidR="00F32BE5" w:rsidP="00CD1539" w:rsidRDefault="00F32BE5" w14:paraId="08A836A5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Team Leader</w:t>
      </w:r>
    </w:p>
    <w:p w:rsidRPr="00F32BE5" w:rsidR="00F32BE5" w:rsidP="00CD1539" w:rsidRDefault="00F32BE5" w14:paraId="38451190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Immediate Supervisor</w:t>
      </w:r>
    </w:p>
    <w:p w:rsidRPr="00F32BE5" w:rsidR="00F32BE5" w:rsidP="00CD1539" w:rsidRDefault="00F32BE5" w14:paraId="4CBF8EF0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TM/Sales Manager</w:t>
      </w:r>
    </w:p>
    <w:p w:rsidRPr="00F32BE5" w:rsidR="00F32BE5" w:rsidP="00CD1539" w:rsidRDefault="00F32BE5" w14:paraId="6BDB6DEB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Operations Manager</w:t>
      </w:r>
    </w:p>
    <w:p w:rsidRPr="00F32BE5" w:rsidR="00F32BE5" w:rsidP="00F32BE5" w:rsidRDefault="00F32BE5" w14:paraId="5C14BD51" w14:textId="77777777">
      <w:pPr>
        <w:numPr>
          <w:ilvl w:val="0"/>
          <w:numId w:val="22"/>
        </w:numPr>
        <w:rPr>
          <w:b/>
          <w:bCs/>
        </w:rPr>
      </w:pPr>
      <w:r w:rsidRPr="00F32BE5">
        <w:rPr>
          <w:b/>
          <w:bCs/>
        </w:rPr>
        <w:t>AWARENESS, TRAINING &amp; ACKNOWLEDGMENT</w:t>
      </w:r>
    </w:p>
    <w:p w:rsidRPr="00F32BE5" w:rsidR="00F32BE5" w:rsidP="00CD1539" w:rsidRDefault="00F32BE5" w14:paraId="22AFAA77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This SOP will be distributed via internal communication.</w:t>
      </w:r>
    </w:p>
    <w:p w:rsidRPr="00F32BE5" w:rsidR="00F32BE5" w:rsidP="00CD1539" w:rsidRDefault="00F32BE5" w14:paraId="482B4922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The L&amp;D Department will conduct a training module and collect employee acknowledgments to confirm understanding.</w:t>
      </w:r>
    </w:p>
    <w:p w:rsidRPr="00F32BE5" w:rsidR="00F32BE5" w:rsidP="00CD1539" w:rsidRDefault="00F32BE5" w14:paraId="3FA17624" w14:textId="77777777">
      <w:pPr>
        <w:numPr>
          <w:ilvl w:val="0"/>
          <w:numId w:val="5"/>
        </w:numPr>
        <w:tabs>
          <w:tab w:val="clear" w:pos="720"/>
          <w:tab w:val="left" w:pos="1440"/>
        </w:tabs>
        <w:ind w:left="1440"/>
      </w:pPr>
      <w:r w:rsidRPr="00F32BE5">
        <w:t>Periodic refresher reminders will be issued.</w:t>
      </w:r>
    </w:p>
    <w:p w:rsidR="00E83C39" w:rsidP="00F32BE5" w:rsidRDefault="00F32BE5" w14:paraId="05995561" w14:textId="5C1C2C0D">
      <w:pPr>
        <w:numPr>
          <w:ilvl w:val="0"/>
          <w:numId w:val="24"/>
        </w:numPr>
      </w:pPr>
      <w:r w:rsidRPr="00F32BE5">
        <w:rPr>
          <w:b/>
          <w:bCs/>
        </w:rPr>
        <w:t>REVIEW &amp; UPDATES</w:t>
      </w:r>
      <w:r w:rsidRPr="00F32BE5">
        <w:t xml:space="preserve"> This SOP will be reviewed periodically to ensure relevance and effectiveness. Any updates will be communicated to employees in advance.</w:t>
      </w:r>
    </w:p>
    <w:sectPr w:rsidR="00E83C39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3718B" w:rsidP="0073718B" w:rsidRDefault="0073718B" w14:paraId="4CCEEE72" w14:textId="77777777">
      <w:pPr>
        <w:spacing w:after="0" w:line="240" w:lineRule="auto"/>
      </w:pPr>
      <w:r>
        <w:separator/>
      </w:r>
    </w:p>
  </w:endnote>
  <w:endnote w:type="continuationSeparator" w:id="0">
    <w:p w:rsidR="0073718B" w:rsidP="0073718B" w:rsidRDefault="0073718B" w14:paraId="0D1ECBA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73718B" w:rsidRDefault="009236B3" w14:paraId="55DC2231" w14:textId="1F55CC7E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B60FCCF" wp14:editId="78C7206C">
          <wp:simplePos x="0" y="0"/>
          <wp:positionH relativeFrom="margin">
            <wp:posOffset>-746760</wp:posOffset>
          </wp:positionH>
          <wp:positionV relativeFrom="paragraph">
            <wp:posOffset>186690</wp:posOffset>
          </wp:positionV>
          <wp:extent cx="7480935" cy="394970"/>
          <wp:effectExtent l="0" t="0" r="5715" b="5080"/>
          <wp:wrapTight wrapText="bothSides">
            <wp:wrapPolygon edited="0">
              <wp:start x="0" y="0"/>
              <wp:lineTo x="0" y="19794"/>
              <wp:lineTo x="715" y="20836"/>
              <wp:lineTo x="1100" y="20836"/>
              <wp:lineTo x="16776" y="20836"/>
              <wp:lineTo x="21561" y="19794"/>
              <wp:lineTo x="21561" y="0"/>
              <wp:lineTo x="0" y="0"/>
            </wp:wrapPolygon>
          </wp:wrapTight>
          <wp:docPr id="139130788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6709630" name="Picture 17767096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93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3718B" w:rsidP="0073718B" w:rsidRDefault="0073718B" w14:paraId="4F041B59" w14:textId="77777777">
      <w:pPr>
        <w:spacing w:after="0" w:line="240" w:lineRule="auto"/>
      </w:pPr>
      <w:r>
        <w:separator/>
      </w:r>
    </w:p>
  </w:footnote>
  <w:footnote w:type="continuationSeparator" w:id="0">
    <w:p w:rsidR="0073718B" w:rsidP="0073718B" w:rsidRDefault="0073718B" w14:paraId="31F120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701FDB" w:rsidP="00701FDB" w:rsidRDefault="00701FDB" w14:paraId="00585FFD" w14:textId="36EC390F">
    <w:pPr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EE2D218" wp14:editId="3992C1A9">
          <wp:simplePos x="0" y="0"/>
          <wp:positionH relativeFrom="column">
            <wp:posOffset>5044440</wp:posOffset>
          </wp:positionH>
          <wp:positionV relativeFrom="paragraph">
            <wp:posOffset>-236220</wp:posOffset>
          </wp:positionV>
          <wp:extent cx="626745" cy="667385"/>
          <wp:effectExtent l="0" t="0" r="1905" b="0"/>
          <wp:wrapTight wrapText="bothSides">
            <wp:wrapPolygon edited="0">
              <wp:start x="9191" y="0"/>
              <wp:lineTo x="3283" y="9865"/>
              <wp:lineTo x="0" y="14181"/>
              <wp:lineTo x="0" y="20963"/>
              <wp:lineTo x="21009" y="20963"/>
              <wp:lineTo x="21009" y="14181"/>
              <wp:lineTo x="18383" y="5549"/>
              <wp:lineTo x="15757" y="0"/>
              <wp:lineTo x="9191" y="0"/>
            </wp:wrapPolygon>
          </wp:wrapTight>
          <wp:docPr id="1022873551" name="Picture 2" descr="A blue logo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9009157" name="Picture 2" descr="A blue logo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745" cy="667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8"/>
        <w:szCs w:val="18"/>
      </w:rPr>
      <w:t xml:space="preserve"> Dept Name:</w:t>
    </w:r>
    <w:r w:rsidRPr="00246F6C">
      <w:rPr>
        <w:sz w:val="18"/>
        <w:szCs w:val="18"/>
      </w:rPr>
      <w:t xml:space="preserve"> </w:t>
    </w:r>
    <w:r>
      <w:rPr>
        <w:sz w:val="18"/>
        <w:szCs w:val="18"/>
      </w:rPr>
      <w:t xml:space="preserve"> Human Resources                                         </w:t>
    </w:r>
  </w:p>
  <w:p w:rsidR="00701FDB" w:rsidP="00701FDB" w:rsidRDefault="00701FDB" w14:paraId="59670D21" w14:textId="1B4C561D">
    <w:pPr>
      <w:rPr>
        <w:sz w:val="18"/>
        <w:szCs w:val="18"/>
      </w:rPr>
    </w:pPr>
    <w:r>
      <w:rPr>
        <w:sz w:val="18"/>
        <w:szCs w:val="18"/>
      </w:rPr>
      <w:t xml:space="preserve"> SOP Title</w:t>
    </w:r>
    <w:r w:rsidRPr="00DB0799">
      <w:rPr>
        <w:sz w:val="18"/>
        <w:szCs w:val="18"/>
      </w:rPr>
      <w:t xml:space="preserve"> </w:t>
    </w:r>
    <w:r>
      <w:rPr>
        <w:sz w:val="18"/>
        <w:szCs w:val="18"/>
      </w:rPr>
      <w:t xml:space="preserve">     Compliance &amp; Attendance                                   </w:t>
    </w:r>
  </w:p>
  <w:p w:rsidRPr="00701FDB" w:rsidR="0073718B" w:rsidP="00701FDB" w:rsidRDefault="00701FDB" w14:paraId="1B2ABFA9" w14:textId="1EB51168">
    <w:pPr>
      <w:rPr>
        <w:sz w:val="18"/>
        <w:szCs w:val="18"/>
      </w:rPr>
    </w:pPr>
    <w:r>
      <w:rPr>
        <w:sz w:val="18"/>
        <w:szCs w:val="18"/>
      </w:rPr>
      <w:t xml:space="preserve"> SOP</w:t>
    </w:r>
    <w:r w:rsidRPr="00246F6C">
      <w:rPr>
        <w:sz w:val="18"/>
        <w:szCs w:val="18"/>
      </w:rPr>
      <w:t xml:space="preserve"> No: </w:t>
    </w:r>
    <w:r>
      <w:rPr>
        <w:sz w:val="18"/>
        <w:szCs w:val="18"/>
      </w:rPr>
      <w:t xml:space="preserve">      HR</w:t>
    </w:r>
    <w:r w:rsidR="00396A87">
      <w:rPr>
        <w:sz w:val="18"/>
        <w:szCs w:val="18"/>
      </w:rPr>
      <w:t>0</w:t>
    </w:r>
    <w:r>
      <w:rPr>
        <w:sz w:val="18"/>
        <w:szCs w:val="18"/>
      </w:rPr>
      <w:t xml:space="preserve">6-P03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70863"/>
    <w:multiLevelType w:val="multilevel"/>
    <w:tmpl w:val="EEBE6F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C3C38"/>
    <w:multiLevelType w:val="multilevel"/>
    <w:tmpl w:val="FCD6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3C61A56"/>
    <w:multiLevelType w:val="multilevel"/>
    <w:tmpl w:val="360CCB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C21E2"/>
    <w:multiLevelType w:val="multilevel"/>
    <w:tmpl w:val="267A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A755FD0"/>
    <w:multiLevelType w:val="multilevel"/>
    <w:tmpl w:val="F8B4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078795D"/>
    <w:multiLevelType w:val="multilevel"/>
    <w:tmpl w:val="782A5C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8355B"/>
    <w:multiLevelType w:val="multilevel"/>
    <w:tmpl w:val="3EC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7AC4738"/>
    <w:multiLevelType w:val="multilevel"/>
    <w:tmpl w:val="E3A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3814206"/>
    <w:multiLevelType w:val="multilevel"/>
    <w:tmpl w:val="4538D5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163FA"/>
    <w:multiLevelType w:val="multilevel"/>
    <w:tmpl w:val="6BD2BD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64AD8"/>
    <w:multiLevelType w:val="multilevel"/>
    <w:tmpl w:val="E41201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23DFA"/>
    <w:multiLevelType w:val="multilevel"/>
    <w:tmpl w:val="D33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C9E6110"/>
    <w:multiLevelType w:val="multilevel"/>
    <w:tmpl w:val="D21C21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419A0"/>
    <w:multiLevelType w:val="multilevel"/>
    <w:tmpl w:val="8DB2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EB3532C"/>
    <w:multiLevelType w:val="multilevel"/>
    <w:tmpl w:val="2F98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07C4B35"/>
    <w:multiLevelType w:val="multilevel"/>
    <w:tmpl w:val="078C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243D6"/>
    <w:multiLevelType w:val="multilevel"/>
    <w:tmpl w:val="4EEA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2291BCC"/>
    <w:multiLevelType w:val="multilevel"/>
    <w:tmpl w:val="4F2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6581D0F"/>
    <w:multiLevelType w:val="multilevel"/>
    <w:tmpl w:val="1A88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94551D4"/>
    <w:multiLevelType w:val="multilevel"/>
    <w:tmpl w:val="FFF4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DFE6920"/>
    <w:multiLevelType w:val="multilevel"/>
    <w:tmpl w:val="790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7F53E07"/>
    <w:multiLevelType w:val="multilevel"/>
    <w:tmpl w:val="A5D442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EB1CC0"/>
    <w:multiLevelType w:val="multilevel"/>
    <w:tmpl w:val="3F562E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042716"/>
    <w:multiLevelType w:val="multilevel"/>
    <w:tmpl w:val="5BFEB1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566743">
    <w:abstractNumId w:val="1"/>
  </w:num>
  <w:num w:numId="2" w16cid:durableId="1714882251">
    <w:abstractNumId w:val="16"/>
  </w:num>
  <w:num w:numId="3" w16cid:durableId="1731533348">
    <w:abstractNumId w:val="7"/>
  </w:num>
  <w:num w:numId="4" w16cid:durableId="1540817501">
    <w:abstractNumId w:val="15"/>
  </w:num>
  <w:num w:numId="5" w16cid:durableId="1292244362">
    <w:abstractNumId w:val="18"/>
  </w:num>
  <w:num w:numId="6" w16cid:durableId="331762577">
    <w:abstractNumId w:val="23"/>
  </w:num>
  <w:num w:numId="7" w16cid:durableId="891356076">
    <w:abstractNumId w:val="4"/>
  </w:num>
  <w:num w:numId="8" w16cid:durableId="1651056163">
    <w:abstractNumId w:val="22"/>
  </w:num>
  <w:num w:numId="9" w16cid:durableId="776875294">
    <w:abstractNumId w:val="13"/>
  </w:num>
  <w:num w:numId="10" w16cid:durableId="925309207">
    <w:abstractNumId w:val="0"/>
  </w:num>
  <w:num w:numId="11" w16cid:durableId="143931296">
    <w:abstractNumId w:val="6"/>
  </w:num>
  <w:num w:numId="12" w16cid:durableId="1811708598">
    <w:abstractNumId w:val="5"/>
  </w:num>
  <w:num w:numId="13" w16cid:durableId="1725369116">
    <w:abstractNumId w:val="11"/>
  </w:num>
  <w:num w:numId="14" w16cid:durableId="2048095519">
    <w:abstractNumId w:val="9"/>
  </w:num>
  <w:num w:numId="15" w16cid:durableId="1085498183">
    <w:abstractNumId w:val="20"/>
  </w:num>
  <w:num w:numId="16" w16cid:durableId="124274451">
    <w:abstractNumId w:val="12"/>
  </w:num>
  <w:num w:numId="17" w16cid:durableId="779841218">
    <w:abstractNumId w:val="14"/>
  </w:num>
  <w:num w:numId="18" w16cid:durableId="1742563065">
    <w:abstractNumId w:val="10"/>
  </w:num>
  <w:num w:numId="19" w16cid:durableId="1707177330">
    <w:abstractNumId w:val="3"/>
  </w:num>
  <w:num w:numId="20" w16cid:durableId="980697184">
    <w:abstractNumId w:val="21"/>
  </w:num>
  <w:num w:numId="21" w16cid:durableId="1376344083">
    <w:abstractNumId w:val="19"/>
  </w:num>
  <w:num w:numId="22" w16cid:durableId="40907537">
    <w:abstractNumId w:val="2"/>
  </w:num>
  <w:num w:numId="23" w16cid:durableId="1142423780">
    <w:abstractNumId w:val="17"/>
  </w:num>
  <w:num w:numId="24" w16cid:durableId="16544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33"/>
    <w:rsid w:val="00105AC9"/>
    <w:rsid w:val="001362AF"/>
    <w:rsid w:val="002879E4"/>
    <w:rsid w:val="0029600D"/>
    <w:rsid w:val="003534E6"/>
    <w:rsid w:val="00396A87"/>
    <w:rsid w:val="003F432C"/>
    <w:rsid w:val="0064352D"/>
    <w:rsid w:val="00701FDB"/>
    <w:rsid w:val="0073718B"/>
    <w:rsid w:val="007822E2"/>
    <w:rsid w:val="00851AD9"/>
    <w:rsid w:val="009236B3"/>
    <w:rsid w:val="009A5BC7"/>
    <w:rsid w:val="009F5A24"/>
    <w:rsid w:val="00A4712B"/>
    <w:rsid w:val="00BD2501"/>
    <w:rsid w:val="00BF2FB9"/>
    <w:rsid w:val="00C97133"/>
    <w:rsid w:val="00CD1539"/>
    <w:rsid w:val="00D908F5"/>
    <w:rsid w:val="00E83C39"/>
    <w:rsid w:val="00EE414B"/>
    <w:rsid w:val="00F32BE5"/>
    <w:rsid w:val="1D57BFE7"/>
    <w:rsid w:val="31791A68"/>
    <w:rsid w:val="438BD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F330"/>
  <w15:chartTrackingRefBased/>
  <w15:docId w15:val="{A87AD860-4827-4B41-A53F-785C0F8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13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13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9713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9713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9713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9713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9713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9713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9713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9713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97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13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713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97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13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97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13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97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1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718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718B"/>
  </w:style>
  <w:style w:type="paragraph" w:styleId="Footer">
    <w:name w:val="footer"/>
    <w:basedOn w:val="Normal"/>
    <w:link w:val="FooterChar"/>
    <w:uiPriority w:val="99"/>
    <w:unhideWhenUsed/>
    <w:rsid w:val="0073718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718B"/>
  </w:style>
  <w:style w:type="paragraph" w:styleId="NormalWeb">
    <w:name w:val="Normal (Web)"/>
    <w:basedOn w:val="Normal"/>
    <w:uiPriority w:val="99"/>
    <w:semiHidden/>
    <w:unhideWhenUsed/>
    <w:rsid w:val="006435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Hyperlink">
    <w:uiPriority w:val="99"/>
    <w:name w:val="Hyperlink"/>
    <w:basedOn w:val="DefaultParagraphFont"/>
    <w:unhideWhenUsed/>
    <w:rsid w:val="1D57BFE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81AAE370E5142B64A369CC92198E0" ma:contentTypeVersion="15" ma:contentTypeDescription="Create a new document." ma:contentTypeScope="" ma:versionID="f17d94dc797710eb62e7d5c15601bc65">
  <xsd:schema xmlns:xsd="http://www.w3.org/2001/XMLSchema" xmlns:xs="http://www.w3.org/2001/XMLSchema" xmlns:p="http://schemas.microsoft.com/office/2006/metadata/properties" xmlns:ns2="642b7f70-c6c9-4a64-88a4-5e774340f52e" xmlns:ns3="cdd95c5d-c8ca-4489-9974-2a6c1eb360f7" targetNamespace="http://schemas.microsoft.com/office/2006/metadata/properties" ma:root="true" ma:fieldsID="36e4b5ed19e38baf20d9abb6c247b042" ns2:_="" ns3:_="">
    <xsd:import namespace="642b7f70-c6c9-4a64-88a4-5e774340f52e"/>
    <xsd:import namespace="cdd95c5d-c8ca-4489-9974-2a6c1eb360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b7f70-c6c9-4a64-88a4-5e774340f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a8d113d-859e-4e88-b2f9-715fcaced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95c5d-c8ca-4489-9974-2a6c1eb360f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3ed95c9-b476-47d4-bbf0-7af42e6fa95c}" ma:internalName="TaxCatchAll" ma:showField="CatchAllData" ma:web="cdd95c5d-c8ca-4489-9974-2a6c1eb360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b7f70-c6c9-4a64-88a4-5e774340f52e">
      <Terms xmlns="http://schemas.microsoft.com/office/infopath/2007/PartnerControls"/>
    </lcf76f155ced4ddcb4097134ff3c332f>
    <TaxCatchAll xmlns="cdd95c5d-c8ca-4489-9974-2a6c1eb360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7791A-3EBC-4493-9AE4-1B2CCBFA9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2b7f70-c6c9-4a64-88a4-5e774340f52e"/>
    <ds:schemaRef ds:uri="cdd95c5d-c8ca-4489-9974-2a6c1eb36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FC0E3C-5648-4CA4-984E-8C761EC8E42A}">
  <ds:schemaRefs>
    <ds:schemaRef ds:uri="http://schemas.microsoft.com/office/2006/metadata/properties"/>
    <ds:schemaRef ds:uri="http://schemas.microsoft.com/office/infopath/2007/PartnerControls"/>
    <ds:schemaRef ds:uri="642b7f70-c6c9-4a64-88a4-5e774340f52e"/>
    <ds:schemaRef ds:uri="cdd95c5d-c8ca-4489-9974-2a6c1eb360f7"/>
  </ds:schemaRefs>
</ds:datastoreItem>
</file>

<file path=customXml/itemProps3.xml><?xml version="1.0" encoding="utf-8"?>
<ds:datastoreItem xmlns:ds="http://schemas.openxmlformats.org/officeDocument/2006/customXml" ds:itemID="{7F901E0D-0E82-4263-AF3A-7D1ACAA9ED9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Bashar Haddad - CDR</dc:creator>
  <keywords/>
  <dc:description/>
  <lastModifiedBy>Bishara Shemali - CDR</lastModifiedBy>
  <revision>20</revision>
  <dcterms:created xsi:type="dcterms:W3CDTF">2025-04-17T10:22:00.0000000Z</dcterms:created>
  <dcterms:modified xsi:type="dcterms:W3CDTF">2025-04-23T14:37:09.1226443Z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0x0101007E881AAE370E5142B64A369CC92198E0</vt:lpwstr>
  </property>
  <property fmtid="{D5CDD505-2E9C-101B-9397-08002B2CF9AE}" pid="3" name="MediaServiceImageTags">
    <vt:lpwstr/>
  </property>
</Properties>
</file>