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2022-11-28 10:14:12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Семенов Роман Сергеевич,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предмет услуги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2000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клиента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+79787774644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Семенов Роман Сергеевич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Семенов Роман Сергеевич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Семенов Роман Сергеевич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клиента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2022-11-28 10:14:12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запрос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Семенов Роман Сергеевич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2022-11-28 10:14:12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2022-11-28 10:14:12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Семенов Роман Сергеевич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2022-11-28 10:14:12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Семенов Роман Сергеевич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предмет услуги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Семенов Роман Сергеевич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Семенов Роман Сергеевич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2022-11-28 10:14:12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+79787774644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2022-11-28 10:14:12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Семенов Роман Сергеевич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2022-11-28 10:14:12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2022-11-28 10:14:12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Семенов Роман Сергеевич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2022-11-28 10:14:12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