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0"/>
          <w:szCs w:val="30"/>
        </w:rPr>
        <w:t xml:space="preserve">Growth &amp; Operations Lead - Terms Sheet</w:t>
      </w:r>
    </w:p>
    <w:p>
      <w:pPr>
        <w:spacing w:after="100" w:before="0"/>
      </w:pPr>
      <w:r>
        <w:rPr>
          <w:rFonts w:ascii="Arial" w:cs="Arial" w:eastAsia="Arial" w:hAnsi="Arial"/>
          <w:sz w:val="19"/>
          <w:szCs w:val="19"/>
        </w:rPr>
        <w:t xml:space="preserve">Between Scag Scapes LLC, acting through its owner and principal Charlie Mascagni (“Scag Scapes”), and Gerald Thomas Pearson Jr. (“Ned”), in his personal capacity. Signed alongside, and subject to, the Mutual Non-Disclosure and Confidentiality Agreement of the same date.</w:t>
      </w:r>
    </w:p>
    <w:p>
      <w:pPr>
        <w:spacing w:after="100" w:before="0"/>
      </w:pPr>
      <w:r>
        <w:rPr>
          <w:rFonts w:ascii="Arial" w:cs="Arial" w:eastAsia="Arial" w:hAnsi="Arial"/>
          <w:i/>
          <w:iCs/>
          <w:color w:val="46524E"/>
          <w:sz w:val="18"/>
          <w:szCs w:val="18"/>
        </w:rPr>
        <w:t xml:space="preserve">This is a binding summary of commercial terms. The Parties will paper it as a services agreement and an operating-agreement amendment within 60 days; if they do not, this sheet governs. Nothing here is legal or tax advice; each Party has had the opportunity to take independent counsel.</w:t>
      </w:r>
    </w:p>
    <w:p>
      <w:pPr>
        <w:spacing w:after="80" w:before="200"/>
      </w:pPr>
      <w:r>
        <w:rPr>
          <w:rFonts w:ascii="Arial" w:cs="Arial" w:eastAsia="Arial" w:hAnsi="Arial"/>
          <w:b/>
          <w:bCs/>
          <w:color w:val="1F5A6E"/>
          <w:sz w:val="22"/>
          <w:szCs w:val="22"/>
        </w:rPr>
        <w:t xml:space="preserve">1. The role</w:t>
      </w:r>
    </w:p>
    <w:p>
      <w:pPr>
        <w:spacing w:after="100" w:before="0"/>
      </w:pPr>
      <w:r>
        <w:rPr>
          <w:rFonts w:ascii="Arial" w:cs="Arial" w:eastAsia="Arial" w:hAnsi="Arial"/>
          <w:sz w:val="20"/>
          <w:szCs w:val="20"/>
        </w:rPr>
        <w:t xml:space="preserve">Ned serves as Growth &amp; Operations Lead on a fractional basis (target 25 hours a week), as an independent contractor, from the Effective Date. Scope: lead generation and marketing, the Scag Scapes Command software, systems and reporting, financing and lender relationships, and recruiting and coaching the operations manager and estimator as the company grows. Charlie retains final authority over pricing, customer relationships and design, capital purchases, borrowing, owner distributions, and hiring at foreman level and above.</w:t>
      </w:r>
    </w:p>
    <w:p>
      <w:pPr>
        <w:spacing w:after="80" w:before="200"/>
      </w:pPr>
      <w:r>
        <w:rPr>
          <w:rFonts w:ascii="Arial" w:cs="Arial" w:eastAsia="Arial" w:hAnsi="Arial"/>
          <w:b/>
          <w:bCs/>
          <w:color w:val="1F5A6E"/>
          <w:sz w:val="22"/>
          <w:szCs w:val="22"/>
        </w:rPr>
        <w:t xml:space="preserve">2. Compensation</w:t>
      </w:r>
    </w:p>
    <w:tbl>
      <w:tblPr>
        <w:tblW w:type="dxa" w:w="9840"/>
        <w:tblBorders>
          <w:top w:val="single" w:color="BFC7C3" w:sz="4"/>
          <w:left w:val="single" w:color="BFC7C3" w:sz="4"/>
          <w:bottom w:val="single" w:color="BFC7C3" w:sz="4"/>
          <w:right w:val="single" w:color="BFC7C3" w:sz="4"/>
          <w:insideH w:val="single" w:color="BFC7C3" w:sz="4"/>
          <w:insideV w:val="single" w:color="BFC7C3" w:sz="4"/>
        </w:tblBorders>
      </w:tblPr>
      <w:tblGrid>
        <w:gridCol w:w="1800"/>
        <w:gridCol w:w="2900"/>
        <w:gridCol w:w="5140"/>
      </w:tblGrid>
      <w:tr>
        <w:tc>
          <w:tcPr>
            <w:tcW w:type="dxa" w:w="1800"/>
            <w:shd w:fill="D8E7EC" w:color="auto" w:val="clear"/>
            <w:tcMar>
              <w:top w:type="dxa" w:w="60"/>
              <w:left w:type="dxa" w:w="100"/>
              <w:bottom w:type="dxa" w:w="60"/>
              <w:right w:type="dxa" w:w="100"/>
            </w:tcMar>
          </w:tcPr>
          <w:p>
            <w:r>
              <w:rPr>
                <w:rFonts w:ascii="Arial" w:cs="Arial" w:eastAsia="Arial" w:hAnsi="Arial"/>
                <w:b/>
                <w:bCs/>
                <w:sz w:val="18"/>
                <w:szCs w:val="18"/>
              </w:rPr>
              <w:t xml:space="preserve">Element</w:t>
            </w:r>
          </w:p>
        </w:tc>
        <w:tc>
          <w:tcPr>
            <w:tcW w:type="dxa" w:w="2900"/>
            <w:shd w:fill="D8E7EC" w:color="auto" w:val="clear"/>
            <w:tcMar>
              <w:top w:type="dxa" w:w="60"/>
              <w:left w:type="dxa" w:w="100"/>
              <w:bottom w:type="dxa" w:w="60"/>
              <w:right w:type="dxa" w:w="100"/>
            </w:tcMar>
          </w:tcPr>
          <w:p>
            <w:r>
              <w:rPr>
                <w:rFonts w:ascii="Arial" w:cs="Arial" w:eastAsia="Arial" w:hAnsi="Arial"/>
                <w:b/>
                <w:bCs/>
                <w:sz w:val="18"/>
                <w:szCs w:val="18"/>
              </w:rPr>
              <w:t xml:space="preserve">Amount</w:t>
            </w:r>
          </w:p>
        </w:tc>
        <w:tc>
          <w:tcPr>
            <w:tcW w:type="dxa" w:w="5140"/>
            <w:shd w:fill="D8E7EC" w:color="auto" w:val="clear"/>
            <w:tcMar>
              <w:top w:type="dxa" w:w="60"/>
              <w:left w:type="dxa" w:w="100"/>
              <w:bottom w:type="dxa" w:w="60"/>
              <w:right w:type="dxa" w:w="100"/>
            </w:tcMar>
          </w:tcPr>
          <w:p>
            <w:r>
              <w:rPr>
                <w:rFonts w:ascii="Arial" w:cs="Arial" w:eastAsia="Arial" w:hAnsi="Arial"/>
                <w:b/>
                <w:bCs/>
                <w:sz w:val="18"/>
                <w:szCs w:val="18"/>
              </w:rPr>
              <w:t xml:space="preserve">Terms</w:t>
            </w:r>
          </w:p>
        </w:tc>
      </w:tr>
      <w:tr>
        <w:tc>
          <w:tcPr>
            <w:tcW w:type="dxa" w:w="1800"/>
            <w:tcMar>
              <w:top w:type="dxa" w:w="60"/>
              <w:left w:type="dxa" w:w="100"/>
              <w:bottom w:type="dxa" w:w="60"/>
              <w:right w:type="dxa" w:w="100"/>
            </w:tcMar>
          </w:tcPr>
          <w:p>
            <w:r>
              <w:rPr>
                <w:rFonts w:ascii="Arial" w:cs="Arial" w:eastAsia="Arial" w:hAnsi="Arial"/>
                <w:b/>
                <w:bCs/>
                <w:sz w:val="18"/>
                <w:szCs w:val="18"/>
              </w:rPr>
              <w:t xml:space="preserve">Base fee</w:t>
            </w:r>
          </w:p>
        </w:tc>
        <w:tc>
          <w:tcPr>
            <w:tcW w:type="dxa" w:w="2900"/>
            <w:tcMar>
              <w:top w:type="dxa" w:w="60"/>
              <w:left w:type="dxa" w:w="100"/>
              <w:bottom w:type="dxa" w:w="60"/>
              <w:right w:type="dxa" w:w="100"/>
            </w:tcMar>
          </w:tcPr>
          <w:p>
            <w:r>
              <w:rPr>
                <w:rFonts w:ascii="Arial" w:cs="Arial" w:eastAsia="Arial" w:hAnsi="Arial"/>
                <w:b w:val="false"/>
                <w:bCs w:val="false"/>
                <w:sz w:val="18"/>
                <w:szCs w:val="18"/>
              </w:rPr>
              <w:t xml:space="preserve">$60,000/yr years 1-2; $66,000 year 3; $72,000 years 4-5; then +2.75%/yr</w:t>
            </w:r>
          </w:p>
        </w:tc>
        <w:tc>
          <w:tcPr>
            <w:tcW w:type="dxa" w:w="5140"/>
            <w:tcMar>
              <w:top w:type="dxa" w:w="60"/>
              <w:left w:type="dxa" w:w="100"/>
              <w:bottom w:type="dxa" w:w="60"/>
              <w:right w:type="dxa" w:w="100"/>
            </w:tcMar>
          </w:tcPr>
          <w:p>
            <w:r>
              <w:rPr>
                <w:rFonts w:ascii="Arial" w:cs="Arial" w:eastAsia="Arial" w:hAnsi="Arial"/>
                <w:b w:val="false"/>
                <w:bCs w:val="false"/>
                <w:sz w:val="18"/>
                <w:szCs w:val="18"/>
              </w:rPr>
              <w:t xml:space="preserve">Paid monthly on the same date. 1099. Reviewed annually against the gates below; Charlie may adjust upward at any time.</w:t>
            </w:r>
          </w:p>
        </w:tc>
      </w:tr>
      <w:tr>
        <w:tc>
          <w:tcPr>
            <w:tcW w:type="dxa" w:w="1800"/>
            <w:tcMar>
              <w:top w:type="dxa" w:w="60"/>
              <w:left w:type="dxa" w:w="100"/>
              <w:bottom w:type="dxa" w:w="60"/>
              <w:right w:type="dxa" w:w="100"/>
            </w:tcMar>
          </w:tcPr>
          <w:p>
            <w:r>
              <w:rPr>
                <w:rFonts w:ascii="Arial" w:cs="Arial" w:eastAsia="Arial" w:hAnsi="Arial"/>
                <w:b/>
                <w:bCs/>
                <w:sz w:val="18"/>
                <w:szCs w:val="18"/>
              </w:rPr>
              <w:t xml:space="preserve">Growth share</w:t>
            </w:r>
          </w:p>
        </w:tc>
        <w:tc>
          <w:tcPr>
            <w:tcW w:type="dxa" w:w="2900"/>
            <w:tcMar>
              <w:top w:type="dxa" w:w="60"/>
              <w:left w:type="dxa" w:w="100"/>
              <w:bottom w:type="dxa" w:w="60"/>
              <w:right w:type="dxa" w:w="100"/>
            </w:tcMar>
          </w:tcPr>
          <w:p>
            <w:r>
              <w:rPr>
                <w:rFonts w:ascii="Arial" w:cs="Arial" w:eastAsia="Arial" w:hAnsi="Arial"/>
                <w:b w:val="false"/>
                <w:bCs w:val="false"/>
                <w:sz w:val="18"/>
                <w:szCs w:val="18"/>
              </w:rPr>
              <w:t xml:space="preserve">10% of operating profit above the baseline</w:t>
            </w:r>
          </w:p>
        </w:tc>
        <w:tc>
          <w:tcPr>
            <w:tcW w:type="dxa" w:w="5140"/>
            <w:tcMar>
              <w:top w:type="dxa" w:w="60"/>
              <w:left w:type="dxa" w:w="100"/>
              <w:bottom w:type="dxa" w:w="60"/>
              <w:right w:type="dxa" w:w="100"/>
            </w:tcMar>
          </w:tcPr>
          <w:p>
            <w:r>
              <w:rPr>
                <w:rFonts w:ascii="Arial" w:cs="Arial" w:eastAsia="Arial" w:hAnsi="Arial"/>
                <w:b w:val="false"/>
                <w:bCs w:val="false"/>
                <w:sz w:val="18"/>
                <w:szCs w:val="18"/>
              </w:rPr>
              <w:t xml:space="preserve">Baseline = the company's operating profit for the 12 months before the Effective Date, fixed now at $0 (Charlie to confirm from the books). Calculated by the company's CPA within 60 days of year end, paid within 30 days of that. Nothing is owed on the profit the business already makes.</w:t>
            </w:r>
          </w:p>
        </w:tc>
      </w:tr>
      <w:tr>
        <w:tc>
          <w:tcPr>
            <w:tcW w:type="dxa" w:w="1800"/>
            <w:tcMar>
              <w:top w:type="dxa" w:w="60"/>
              <w:left w:type="dxa" w:w="100"/>
              <w:bottom w:type="dxa" w:w="60"/>
              <w:right w:type="dxa" w:w="100"/>
            </w:tcMar>
          </w:tcPr>
          <w:p>
            <w:r>
              <w:rPr>
                <w:rFonts w:ascii="Arial" w:cs="Arial" w:eastAsia="Arial" w:hAnsi="Arial"/>
                <w:b/>
                <w:bCs/>
                <w:sz w:val="18"/>
                <w:szCs w:val="18"/>
              </w:rPr>
              <w:t xml:space="preserve">Profits interest</w:t>
            </w:r>
          </w:p>
        </w:tc>
        <w:tc>
          <w:tcPr>
            <w:tcW w:type="dxa" w:w="2900"/>
            <w:tcMar>
              <w:top w:type="dxa" w:w="60"/>
              <w:left w:type="dxa" w:w="100"/>
              <w:bottom w:type="dxa" w:w="60"/>
              <w:right w:type="dxa" w:w="100"/>
            </w:tcMar>
          </w:tcPr>
          <w:p>
            <w:r>
              <w:rPr>
                <w:rFonts w:ascii="Arial" w:cs="Arial" w:eastAsia="Arial" w:hAnsi="Arial"/>
                <w:b w:val="false"/>
                <w:bCs w:val="false"/>
                <w:sz w:val="18"/>
                <w:szCs w:val="18"/>
              </w:rPr>
              <w:t xml:space="preserve">15% of value created above the hurdle</w:t>
            </w:r>
          </w:p>
        </w:tc>
        <w:tc>
          <w:tcPr>
            <w:tcW w:type="dxa" w:w="5140"/>
            <w:tcMar>
              <w:top w:type="dxa" w:w="60"/>
              <w:left w:type="dxa" w:w="100"/>
              <w:bottom w:type="dxa" w:w="60"/>
              <w:right w:type="dxa" w:w="100"/>
            </w:tcMar>
          </w:tcPr>
          <w:p>
            <w:r>
              <w:rPr>
                <w:rFonts w:ascii="Arial" w:cs="Arial" w:eastAsia="Arial" w:hAnsi="Arial"/>
                <w:b w:val="false"/>
                <w:bCs w:val="false"/>
                <w:sz w:val="18"/>
                <w:szCs w:val="18"/>
              </w:rPr>
              <w:t xml:space="preserve">An LLC profits interest under Rev. Proc. 93-27 / 2001-43, with the hurdle set at the company's fair value on the Effective Date ($170,000, to be confirmed by a contemporaneous valuation). Pays only on a sale of the company or on a buyout under section 5. No claim on value below the hurdle. Ned files an 83(b) election within 30 days of grant.</w:t>
            </w:r>
          </w:p>
        </w:tc>
      </w:tr>
    </w:tbl>
    <w:p>
      <w:pPr>
        <w:spacing w:after="80" w:before="200"/>
      </w:pPr>
      <w:r>
        <w:rPr>
          <w:rFonts w:ascii="Arial" w:cs="Arial" w:eastAsia="Arial" w:hAnsi="Arial"/>
          <w:b/>
          <w:bCs/>
          <w:color w:val="1F5A6E"/>
          <w:sz w:val="22"/>
          <w:szCs w:val="22"/>
        </w:rPr>
        <w:t xml:space="preserve">3. Gates and reviews</w:t>
      </w:r>
    </w:p>
    <w:p>
      <w:pPr>
        <w:pStyle w:val="ListParagraph"/>
        <w:numPr>
          <w:ilvl w:val="0"/>
          <w:numId w:val="2"/>
        </w:numPr>
        <w:spacing w:after="60" w:before="0"/>
      </w:pPr>
      <w:r>
        <w:rPr>
          <w:rFonts w:ascii="Arial" w:cs="Arial" w:eastAsia="Arial" w:hAnsi="Arial"/>
          <w:sz w:val="20"/>
          <w:szCs w:val="20"/>
        </w:rPr>
        <w:t xml:space="preserve">90-day gate: 100% of inbound leads answered within the agreed response time; marketing cost per booked job under $500; both crews at 750+ linear feet per month. If missed, either Party may end the arrangement on 30 days' written notice with no further obligation beyond fees earned.</w:t>
      </w:r>
    </w:p>
    <w:p>
      <w:pPr>
        <w:pStyle w:val="ListParagraph"/>
        <w:numPr>
          <w:ilvl w:val="0"/>
          <w:numId w:val="2"/>
        </w:numPr>
        <w:spacing w:after="60" w:before="0"/>
      </w:pPr>
      <w:r>
        <w:rPr>
          <w:rFonts w:ascii="Arial" w:cs="Arial" w:eastAsia="Arial" w:hAnsi="Arial"/>
          <w:sz w:val="20"/>
          <w:szCs w:val="20"/>
        </w:rPr>
        <w:t xml:space="preserve">Annual review each January against the year's agreed operating gates (crew count, cash reserve, plan-book growth). Base and growth share are adjustable only upward except by mutual written agreement.</w:t>
      </w:r>
    </w:p>
    <w:p>
      <w:pPr>
        <w:pStyle w:val="ListParagraph"/>
        <w:numPr>
          <w:ilvl w:val="0"/>
          <w:numId w:val="2"/>
        </w:numPr>
        <w:spacing w:after="60" w:before="0"/>
      </w:pPr>
      <w:r>
        <w:rPr>
          <w:rFonts w:ascii="Arial" w:cs="Arial" w:eastAsia="Arial" w:hAnsi="Arial"/>
          <w:sz w:val="20"/>
          <w:szCs w:val="20"/>
        </w:rPr>
        <w:t xml:space="preserve">Crew 3 decision: at the end of year 2 the Parties decide together, in writing, whether the third crew proceeds. This is a joint decision, not a unilateral one.</w:t>
      </w:r>
    </w:p>
    <w:p>
      <w:pPr>
        <w:spacing w:after="80" w:before="200"/>
      </w:pPr>
      <w:r>
        <w:rPr>
          <w:rFonts w:ascii="Arial" w:cs="Arial" w:eastAsia="Arial" w:hAnsi="Arial"/>
          <w:b/>
          <w:bCs/>
          <w:color w:val="1F5A6E"/>
          <w:sz w:val="22"/>
          <w:szCs w:val="22"/>
        </w:rPr>
        <w:t xml:space="preserve">4. Obligations and the escalation ladder</w:t>
      </w:r>
    </w:p>
    <w:p>
      <w:pPr>
        <w:spacing w:after="100" w:before="0"/>
      </w:pPr>
      <w:r>
        <w:rPr>
          <w:rFonts w:ascii="Arial" w:cs="Arial" w:eastAsia="Arial" w:hAnsi="Arial"/>
          <w:sz w:val="20"/>
          <w:szCs w:val="20"/>
        </w:rPr>
        <w:t xml:space="preserve">Ned owes Scag Scapes: leads and marketing delivered and reported monthly; the software kept running and supported; a monthly numbers pack on the same date each month; the agreed hours; confidentiality and non-circumvention. Scag Scapes owes Ned: payment on time; read access to the books needed to verify the growth share, with the CPA's year-end figure binding; written decision authority within the agreed areas; and the profits interest actually documented in the operating agreement.</w:t>
      </w:r>
    </w:p>
    <w:p>
      <w:pPr>
        <w:spacing w:after="100" w:before="0"/>
      </w:pPr>
      <w:r>
        <w:rPr>
          <w:rFonts w:ascii="Arial" w:cs="Arial" w:eastAsia="Arial" w:hAnsi="Arial"/>
          <w:b/>
          <w:bCs/>
          <w:sz w:val="20"/>
          <w:szCs w:val="20"/>
        </w:rPr>
        <w:t xml:space="preserve">If the company declines to take an agreed growth step, the growth share for that year is calculated as though the step had been taken, or the arrangement ends cleanly under section 5 - not both Parties losing.</w:t>
      </w:r>
    </w:p>
    <w:p>
      <w:pPr>
        <w:spacing w:after="100" w:before="0"/>
      </w:pPr>
      <w:r>
        <w:rPr>
          <w:rFonts w:ascii="Arial" w:cs="Arial" w:eastAsia="Arial" w:hAnsi="Arial"/>
          <w:sz w:val="20"/>
          <w:szCs w:val="20"/>
        </w:rPr>
        <w:t xml:space="preserve">Any shortfall by either Party runs the same five steps: (1) a private conversation; (2) a written note if unresolved after 30 days; (3) a 90-day cure period with success criteria agreed in advance; (4) a consequence only on a second miss within 12 months - vesting pauses, nothing already earned is clawed back; (5) a no-fault separation on 90 days' notice at the buyout formula in section 5.</w:t>
      </w:r>
    </w:p>
    <w:p>
      <w:pPr>
        <w:spacing w:after="80" w:before="200"/>
      </w:pPr>
      <w:r>
        <w:rPr>
          <w:rFonts w:ascii="Arial" w:cs="Arial" w:eastAsia="Arial" w:hAnsi="Arial"/>
          <w:b/>
          <w:bCs/>
          <w:color w:val="1F5A6E"/>
          <w:sz w:val="22"/>
          <w:szCs w:val="22"/>
        </w:rPr>
        <w:t xml:space="preserve">5. Separation and buyout</w:t>
      </w:r>
    </w:p>
    <w:p>
      <w:pPr>
        <w:pStyle w:val="ListParagraph"/>
        <w:numPr>
          <w:ilvl w:val="0"/>
          <w:numId w:val="2"/>
        </w:numPr>
        <w:spacing w:after="60" w:before="0"/>
      </w:pPr>
      <w:r>
        <w:rPr>
          <w:rFonts w:ascii="Arial" w:cs="Arial" w:eastAsia="Arial" w:hAnsi="Arial"/>
          <w:sz w:val="20"/>
          <w:szCs w:val="20"/>
        </w:rPr>
        <w:t xml:space="preserve">Good-leaver separation (including death or disability): the profits interest is bought at its formula value - the company's fair value that year less the hurdle, times 15%, less a 20% minority discount - payable as a lump sum or over up to 7 years at the company's borrowing rate, at the company's election. The company has first right to buy, then the other members, then an outside buyer with the company holding a right to match.</w:t>
      </w:r>
    </w:p>
    <w:p>
      <w:pPr>
        <w:pStyle w:val="ListParagraph"/>
        <w:numPr>
          <w:ilvl w:val="0"/>
          <w:numId w:val="2"/>
        </w:numPr>
        <w:spacing w:after="60" w:before="0"/>
      </w:pPr>
      <w:r>
        <w:rPr>
          <w:rFonts w:ascii="Arial" w:cs="Arial" w:eastAsia="Arial" w:hAnsi="Arial"/>
          <w:sz w:val="20"/>
          <w:szCs w:val="20"/>
        </w:rPr>
        <w:t xml:space="preserve">Cause - narrowly defined as dishonesty about money, working against the company, a criminal act materially damaging the business, or complete and sustained abandonment of the role - forfeits unvested value; vested value is bought at the lower of cost or formula. Disagreement, a bad year, or the plan not working is not cause.</w:t>
      </w:r>
    </w:p>
    <w:p>
      <w:pPr>
        <w:pStyle w:val="ListParagraph"/>
        <w:numPr>
          <w:ilvl w:val="0"/>
          <w:numId w:val="2"/>
        </w:numPr>
        <w:spacing w:after="60" w:before="0"/>
      </w:pPr>
      <w:r>
        <w:rPr>
          <w:rFonts w:ascii="Arial" w:cs="Arial" w:eastAsia="Arial" w:hAnsi="Arial"/>
          <w:sz w:val="20"/>
          <w:szCs w:val="20"/>
        </w:rPr>
        <w:t xml:space="preserve">The Scag Scapes Command software: Scag Scapes holds a perpetual, non-exclusive licence to use it for its own business, at the agreed licence fee, surviving any separation. Ned retains ownership of the code, architecture and model. Neither Party may use the other's confidential information after separation except as this licence permits.</w:t>
      </w:r>
    </w:p>
    <w:p>
      <w:pPr>
        <w:pStyle w:val="ListParagraph"/>
        <w:numPr>
          <w:ilvl w:val="0"/>
          <w:numId w:val="2"/>
        </w:numPr>
        <w:spacing w:after="60" w:before="0"/>
      </w:pPr>
      <w:r>
        <w:rPr>
          <w:rFonts w:ascii="Arial" w:cs="Arial" w:eastAsia="Arial" w:hAnsi="Arial"/>
          <w:sz w:val="20"/>
          <w:szCs w:val="20"/>
        </w:rPr>
        <w:t xml:space="preserve">Any dispute over a number is referred to the company's CPA, whose determination binds both Parties.</w:t>
      </w:r>
    </w:p>
    <w:p>
      <w:pPr>
        <w:spacing w:after="80" w:before="200"/>
      </w:pPr>
      <w:r>
        <w:rPr>
          <w:rFonts w:ascii="Arial" w:cs="Arial" w:eastAsia="Arial" w:hAnsi="Arial"/>
          <w:b/>
          <w:bCs/>
          <w:color w:val="1F5A6E"/>
          <w:sz w:val="22"/>
          <w:szCs w:val="22"/>
        </w:rPr>
        <w:t xml:space="preserve">6. General</w:t>
      </w:r>
    </w:p>
    <w:p>
      <w:pPr>
        <w:spacing w:after="100" w:before="0"/>
      </w:pPr>
      <w:r>
        <w:rPr>
          <w:rFonts w:ascii="Arial" w:cs="Arial" w:eastAsia="Arial" w:hAnsi="Arial"/>
          <w:sz w:val="20"/>
          <w:szCs w:val="20"/>
        </w:rPr>
        <w:t xml:space="preserve">Governing law Louisiana. Neither Party may assign without the other's written consent. This sheet, together with the NDA, is the entire agreement on these terms until superseded by the definitive documents. Either Party may terminate on 90 days' notice at any time under section 5; the 30-day right applies only at the 90-day gate.</w:t>
      </w:r>
    </w:p>
    <w:tbl>
      <w:tblPr>
        <w:tblW w:type="dxa" w:w="9840"/>
        <w:tblBorders>
          <w:top w:val="none"/>
          <w:left w:val="none"/>
          <w:bottom w:val="none"/>
          <w:right w:val="none"/>
          <w:insideH w:val="none"/>
          <w:insideV w:val="none"/>
        </w:tblBorders>
      </w:tblPr>
      <w:tblGrid>
        <w:gridCol w:w="4920"/>
        <w:gridCol w:w="4920"/>
      </w:tblGrid>
      <w:tr>
        <w:tc>
          <w:tcPr>
            <w:tcW w:type="dxa" w:w="4920"/>
          </w:tcPr>
          <w:p>
            <w:pPr>
              <w:spacing w:after="40" w:before="200"/>
            </w:pPr>
            <w:r>
              <w:rPr>
                <w:rFonts w:ascii="Arial" w:cs="Arial" w:eastAsia="Arial" w:hAnsi="Arial"/>
                <w:b/>
                <w:bCs/>
                <w:sz w:val="20"/>
                <w:szCs w:val="20"/>
              </w:rPr>
              <w:t xml:space="preserve">SCAG SCAPES LLC</w:t>
            </w:r>
          </w:p>
          <w:p>
            <w:pPr>
              <w:spacing w:after="40" w:before="0"/>
            </w:pPr>
            <w:r>
              <w:rPr>
                <w:rFonts w:ascii="Arial" w:cs="Arial" w:eastAsia="Arial" w:hAnsi="Arial"/>
                <w:sz w:val="20"/>
                <w:szCs w:val="20"/>
              </w:rPr>
              <w:t xml:space="preserve">Signature: ______________________________</w:t>
            </w:r>
          </w:p>
          <w:p>
            <w:pPr>
              <w:spacing w:after="40" w:before="0"/>
            </w:pPr>
            <w:r>
              <w:rPr>
                <w:rFonts w:ascii="Arial" w:cs="Arial" w:eastAsia="Arial" w:hAnsi="Arial"/>
                <w:sz w:val="20"/>
                <w:szCs w:val="20"/>
              </w:rPr>
              <w:t xml:space="preserve">Charlie Mascagni, Owner and Principal</w:t>
            </w:r>
          </w:p>
          <w:p>
            <w:pPr>
              <w:spacing w:after="40" w:before="0"/>
            </w:pPr>
            <w:r>
              <w:rPr>
                <w:rFonts w:ascii="Arial" w:cs="Arial" w:eastAsia="Arial" w:hAnsi="Arial"/>
                <w:sz w:val="20"/>
                <w:szCs w:val="20"/>
              </w:rPr>
              <w:t xml:space="preserve">Date: _______________</w:t>
            </w:r>
          </w:p>
        </w:tc>
        <w:tc>
          <w:tcPr>
            <w:tcW w:type="dxa" w:w="4920"/>
          </w:tcPr>
          <w:p>
            <w:pPr>
              <w:spacing w:after="40" w:before="200"/>
            </w:pPr>
            <w:r>
              <w:rPr>
                <w:rFonts w:ascii="Arial" w:cs="Arial" w:eastAsia="Arial" w:hAnsi="Arial"/>
                <w:b/>
                <w:bCs/>
                <w:sz w:val="20"/>
                <w:szCs w:val="20"/>
              </w:rPr>
              <w:t xml:space="preserve">NED PEARSON</w:t>
            </w:r>
          </w:p>
          <w:p>
            <w:pPr>
              <w:spacing w:after="40" w:before="0"/>
            </w:pPr>
            <w:r>
              <w:rPr>
                <w:rFonts w:ascii="Arial" w:cs="Arial" w:eastAsia="Arial" w:hAnsi="Arial"/>
                <w:sz w:val="20"/>
                <w:szCs w:val="20"/>
              </w:rPr>
              <w:t xml:space="preserve">Signature: ______________________________</w:t>
            </w:r>
          </w:p>
          <w:p>
            <w:pPr>
              <w:spacing w:after="40" w:before="0"/>
            </w:pPr>
            <w:r>
              <w:rPr>
                <w:rFonts w:ascii="Arial" w:cs="Arial" w:eastAsia="Arial" w:hAnsi="Arial"/>
                <w:sz w:val="20"/>
                <w:szCs w:val="20"/>
              </w:rPr>
              <w:t xml:space="preserve">Gerald Thomas Pearson Jr., individually</w:t>
            </w:r>
          </w:p>
          <w:p>
            <w:pPr>
              <w:spacing w:after="40" w:before="0"/>
            </w:pPr>
            <w:r>
              <w:rPr>
                <w:rFonts w:ascii="Arial" w:cs="Arial" w:eastAsia="Arial" w:hAnsi="Arial"/>
                <w:sz w:val="20"/>
                <w:szCs w:val="20"/>
              </w:rPr>
              <w:t xml:space="preserve">Date: _______________</w:t>
            </w:r>
          </w:p>
        </w:tc>
      </w:tr>
    </w:tbl>
    <w:p>
      <w:pPr>
        <w:spacing w:after="100" w:before="200"/>
      </w:pPr>
      <w:r>
        <w:rPr>
          <w:rFonts w:ascii="Arial" w:cs="Arial" w:eastAsia="Arial" w:hAnsi="Arial"/>
          <w:i/>
          <w:iCs/>
          <w:color w:val="76827D"/>
          <w:sz w:val="16"/>
          <w:szCs w:val="16"/>
        </w:rPr>
        <w:t xml:space="preserve">A template for discussion between the Parties, prepared September 2026. Not a substitute for advice from a licensed Louisiana attorney; each Party should have their own counsel review it before signing.</w:t>
      </w:r>
    </w:p>
    <w:sectPr>
      <w:pgSz w:w="12240" w:h="15840" w:orient="portrait"/>
      <w:pgMar w:top="108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2026-09-17T06:00:57.873Z</dcterms:created>
  <dcterms:modified xsi:type="dcterms:W3CDTF">2026-09-17T06:00:57.885Z</dcterms:modified>
</cp:coreProperties>
</file>

<file path=docProps/custom.xml><?xml version="1.0" encoding="utf-8"?>
<Properties xmlns="http://schemas.openxmlformats.org/officeDocument/2006/custom-properties" xmlns:vt="http://schemas.openxmlformats.org/officeDocument/2006/docPropsVTypes"/>
</file>