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Carlo A. ROSSI </w:t>
      </w:r>
    </w:p>
    <w:p w:rsidR="00000000" w:rsidDel="00000000" w:rsidP="00000000" w:rsidRDefault="00000000" w:rsidRPr="00000000" w14:paraId="00000025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Palatino Linotype" w:cs="Palatino Linotype" w:eastAsia="Palatino Linotype" w:hAnsi="Palatino Linotype"/>
          <w:b w:val="1"/>
          <w:bCs w:val="1"/>
          <w:sz w:val="48"/>
          <w:szCs w:val="4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48"/>
          <w:szCs w:val="48"/>
          <w:rtl w:val="0"/>
        </w:rPr>
        <w:t xml:space="preserve">PERRONY</w:t>
      </w:r>
    </w:p>
    <w:p w:rsidR="00000000" w:rsidDel="00000000" w:rsidP="00000000" w:rsidRDefault="00000000" w:rsidRPr="00000000" w14:paraId="0000002B">
      <w:pPr>
        <w:jc w:val="center"/>
        <w:rPr>
          <w:rFonts w:ascii="Palatino Linotype" w:cs="Palatino Linotype" w:eastAsia="Palatino Linotype" w:hAnsi="Palatino Linotype"/>
          <w:b w:val="1"/>
          <w:bCs w:val="1"/>
          <w:sz w:val="36"/>
          <w:szCs w:val="36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6"/>
          <w:szCs w:val="36"/>
          <w:rtl w:val="0"/>
        </w:rPr>
        <w:t xml:space="preserve">mort et via d’un </w:t>
      </w:r>
    </w:p>
    <w:p w:rsidR="00000000" w:rsidDel="00000000" w:rsidP="00000000" w:rsidRDefault="00000000" w:rsidRPr="00000000" w14:paraId="0000002C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6"/>
          <w:szCs w:val="36"/>
          <w:rtl w:val="0"/>
        </w:rPr>
        <w:t xml:space="preserve">garda-tsasse royal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Imprimerie DUC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