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Écrire un livro revele toteun todzor un’ambechon: étre lisu p’un grant nombro de dzens. Cices que restont dens les combes yeu se devoéle la conta, bien cheur, mis etot pi louen, perqué pàs. Deicen, lei sont des patoésants pâs renque en Val d’Outa, mis etot la délé de noutres grantes beques.</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 tot co s’adjeunte etot un’atra ambechon: avetchier di couté d’an grafia literera.</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Avouì cices beuts, çales grafies bastont pâs.</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Dominique Stich, quase vingt ans feit, l’at marcâ un tsemin per baillier una écriteura supradialeitala i francoprovencal. En rendent pi simpla cala marca, lo Conseil Internachonal di Francoprovencal (CIF) l’at propousâ, dens cices derriers ans, an grafia fort etimologeca, definia “historeca et englobanta” et atot des reilles que valont per tcheuts les locuteurs francoprovençals... di mondo!</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leiteur que l’est arrevâ sensa grous empatsement a lire canque cé, l’at dza a peu prés compreis quinta metoda l’at cherdu l’auteur. A cit que l’at bien fategâ, me fât lei dire que det s’abetuer et renque tchandjier an mia de registro respet a cen que veit de coteuma. A tcheuts dous baillo ceilla quaques indicachons. Toteun, lo conseil l’est de pàs baillier trop fei a la grafia, mis de penser... a la conta.</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principos fondamentals sont l’utilisachon di pluriel en &lt;-s&gt;, lo &lt;-r&gt; de l’infinitif dis verbos et les desinances en &lt;-s&gt; et &lt;-t&gt;, eisemplo: aler = vous, vas, vat, alens, alades, vant.</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Deicen, y est la presance de totes cales lettres intervocaleques et etimologeques que lei sont, mis que de coteuma on prononce pas en Veulla d’Outa et alentor. Eisemplos? &lt;Dire&gt; a place de </w:t>
      </w:r>
      <w:r w:rsidDel="00000000" w:rsidR="00000000" w:rsidRPr="00000000">
        <w:rPr>
          <w:rFonts w:ascii="Palatino Linotype" w:cs="Palatino Linotype" w:eastAsia="Palatino Linotype" w:hAnsi="Palatino Linotype"/>
          <w:i w:val="1"/>
          <w:iCs w:val="1"/>
          <w:sz w:val="20"/>
          <w:szCs w:val="20"/>
          <w:rtl w:val="0"/>
        </w:rPr>
        <w:t xml:space="preserve">diye</w:t>
      </w:r>
      <w:r w:rsidDel="00000000" w:rsidR="00000000" w:rsidRPr="00000000">
        <w:rPr>
          <w:rFonts w:ascii="Palatino Linotype" w:cs="Palatino Linotype" w:eastAsia="Palatino Linotype" w:hAnsi="Palatino Linotype"/>
          <w:sz w:val="20"/>
          <w:szCs w:val="20"/>
          <w:rtl w:val="0"/>
        </w:rPr>
        <w:t xml:space="preserve">, «fére&gt; a place de </w:t>
      </w:r>
      <w:r w:rsidDel="00000000" w:rsidR="00000000" w:rsidRPr="00000000">
        <w:rPr>
          <w:rFonts w:ascii="Palatino Linotype" w:cs="Palatino Linotype" w:eastAsia="Palatino Linotype" w:hAnsi="Palatino Linotype"/>
          <w:i w:val="1"/>
          <w:iCs w:val="1"/>
          <w:sz w:val="20"/>
          <w:szCs w:val="20"/>
          <w:rtl w:val="0"/>
        </w:rPr>
        <w:t xml:space="preserve">fiye</w:t>
      </w:r>
      <w:r w:rsidDel="00000000" w:rsidR="00000000" w:rsidRPr="00000000">
        <w:rPr>
          <w:rFonts w:ascii="Palatino Linotype" w:cs="Palatino Linotype" w:eastAsia="Palatino Linotype" w:hAnsi="Palatino Linotype"/>
          <w:sz w:val="20"/>
          <w:szCs w:val="20"/>
          <w:rtl w:val="0"/>
        </w:rPr>
        <w:t xml:space="preserve">, &lt;alavont&gt; a place de </w:t>
      </w:r>
      <w:r w:rsidDel="00000000" w:rsidR="00000000" w:rsidRPr="00000000">
        <w:rPr>
          <w:rFonts w:ascii="Palatino Linotype" w:cs="Palatino Linotype" w:eastAsia="Palatino Linotype" w:hAnsi="Palatino Linotype"/>
          <w:i w:val="1"/>
          <w:iCs w:val="1"/>
          <w:sz w:val="20"/>
          <w:szCs w:val="20"/>
          <w:rtl w:val="0"/>
        </w:rPr>
        <w:t xml:space="preserve">allaon </w:t>
      </w:r>
      <w:r w:rsidDel="00000000" w:rsidR="00000000" w:rsidRPr="00000000">
        <w:rPr>
          <w:rFonts w:ascii="Palatino Linotype" w:cs="Palatino Linotype" w:eastAsia="Palatino Linotype" w:hAnsi="Palatino Linotype"/>
          <w:sz w:val="20"/>
          <w:szCs w:val="20"/>
          <w:rtl w:val="0"/>
        </w:rPr>
        <w:t xml:space="preserve">ou </w:t>
      </w:r>
      <w:r w:rsidDel="00000000" w:rsidR="00000000" w:rsidRPr="00000000">
        <w:rPr>
          <w:rFonts w:ascii="Palatino Linotype" w:cs="Palatino Linotype" w:eastAsia="Palatino Linotype" w:hAnsi="Palatino Linotype"/>
          <w:i w:val="1"/>
          <w:iCs w:val="1"/>
          <w:sz w:val="20"/>
          <w:szCs w:val="20"/>
          <w:rtl w:val="0"/>
        </w:rPr>
        <w:t xml:space="preserve">alloon </w:t>
      </w:r>
      <w:r w:rsidDel="00000000" w:rsidR="00000000" w:rsidRPr="00000000">
        <w:rPr>
          <w:rFonts w:ascii="Palatino Linotype" w:cs="Palatino Linotype" w:eastAsia="Palatino Linotype" w:hAnsi="Palatino Linotype"/>
          <w:sz w:val="20"/>
          <w:szCs w:val="20"/>
          <w:rtl w:val="0"/>
        </w:rPr>
        <w:t xml:space="preserve">et etot: </w:t>
      </w:r>
      <w:r w:rsidDel="00000000" w:rsidR="00000000" w:rsidRPr="00000000">
        <w:rPr>
          <w:rFonts w:ascii="Palatino Linotype" w:cs="Palatino Linotype" w:eastAsia="Palatino Linotype" w:hAnsi="Palatino Linotype"/>
          <w:i w:val="1"/>
          <w:iCs w:val="1"/>
          <w:sz w:val="20"/>
          <w:szCs w:val="20"/>
          <w:rtl w:val="0"/>
        </w:rPr>
        <w:t xml:space="preserve">tseà </w:t>
      </w:r>
      <w:r w:rsidDel="00000000" w:rsidR="00000000" w:rsidRPr="00000000">
        <w:rPr>
          <w:rFonts w:ascii="Palatino Linotype" w:cs="Palatino Linotype" w:eastAsia="Palatino Linotype" w:hAnsi="Palatino Linotype"/>
          <w:sz w:val="20"/>
          <w:szCs w:val="20"/>
          <w:rtl w:val="0"/>
        </w:rPr>
        <w:t xml:space="preserve">= «tsevab», </w:t>
      </w:r>
      <w:r w:rsidDel="00000000" w:rsidR="00000000" w:rsidRPr="00000000">
        <w:rPr>
          <w:rFonts w:ascii="Palatino Linotype" w:cs="Palatino Linotype" w:eastAsia="Palatino Linotype" w:hAnsi="Palatino Linotype"/>
          <w:i w:val="1"/>
          <w:iCs w:val="1"/>
          <w:sz w:val="20"/>
          <w:szCs w:val="20"/>
          <w:rtl w:val="0"/>
        </w:rPr>
        <w:t xml:space="preserve">ratì </w:t>
      </w:r>
      <w:r w:rsidDel="00000000" w:rsidR="00000000" w:rsidRPr="00000000">
        <w:rPr>
          <w:rFonts w:ascii="Palatino Linotype" w:cs="Palatino Linotype" w:eastAsia="Palatino Linotype" w:hAnsi="Palatino Linotype"/>
          <w:sz w:val="20"/>
          <w:szCs w:val="20"/>
          <w:rtl w:val="0"/>
        </w:rPr>
        <w:t xml:space="preserve">ou </w:t>
      </w:r>
      <w:r w:rsidDel="00000000" w:rsidR="00000000" w:rsidRPr="00000000">
        <w:rPr>
          <w:rFonts w:ascii="Palatino Linotype" w:cs="Palatino Linotype" w:eastAsia="Palatino Linotype" w:hAnsi="Palatino Linotype"/>
          <w:i w:val="1"/>
          <w:iCs w:val="1"/>
          <w:sz w:val="20"/>
          <w:szCs w:val="20"/>
          <w:rtl w:val="0"/>
        </w:rPr>
        <w:t xml:space="preserve">raté </w:t>
      </w:r>
      <w:r w:rsidDel="00000000" w:rsidR="00000000" w:rsidRPr="00000000">
        <w:rPr>
          <w:rFonts w:ascii="Palatino Linotype" w:cs="Palatino Linotype" w:eastAsia="Palatino Linotype" w:hAnsi="Palatino Linotype"/>
          <w:sz w:val="20"/>
          <w:szCs w:val="20"/>
          <w:rtl w:val="0"/>
        </w:rPr>
        <w:t xml:space="preserve">= &lt;ratel&gt;, </w:t>
      </w:r>
      <w:r w:rsidDel="00000000" w:rsidR="00000000" w:rsidRPr="00000000">
        <w:rPr>
          <w:rFonts w:ascii="Palatino Linotype" w:cs="Palatino Linotype" w:eastAsia="Palatino Linotype" w:hAnsi="Palatino Linotype"/>
          <w:i w:val="1"/>
          <w:iCs w:val="1"/>
          <w:sz w:val="20"/>
          <w:szCs w:val="20"/>
          <w:rtl w:val="0"/>
        </w:rPr>
        <w:t xml:space="preserve">tsatì </w:t>
      </w:r>
      <w:r w:rsidDel="00000000" w:rsidR="00000000" w:rsidRPr="00000000">
        <w:rPr>
          <w:rFonts w:ascii="Palatino Linotype" w:cs="Palatino Linotype" w:eastAsia="Palatino Linotype" w:hAnsi="Palatino Linotype"/>
          <w:sz w:val="20"/>
          <w:szCs w:val="20"/>
          <w:rtl w:val="0"/>
        </w:rPr>
        <w:t xml:space="preserve">ou </w:t>
      </w:r>
      <w:r w:rsidDel="00000000" w:rsidR="00000000" w:rsidRPr="00000000">
        <w:rPr>
          <w:rFonts w:ascii="Palatino Linotype" w:cs="Palatino Linotype" w:eastAsia="Palatino Linotype" w:hAnsi="Palatino Linotype"/>
          <w:i w:val="1"/>
          <w:iCs w:val="1"/>
          <w:sz w:val="20"/>
          <w:szCs w:val="20"/>
          <w:rtl w:val="0"/>
        </w:rPr>
        <w:t xml:space="preserve">tsaté </w:t>
      </w:r>
      <w:r w:rsidDel="00000000" w:rsidR="00000000" w:rsidRPr="00000000">
        <w:rPr>
          <w:rFonts w:ascii="Palatino Linotype" w:cs="Palatino Linotype" w:eastAsia="Palatino Linotype" w:hAnsi="Palatino Linotype"/>
          <w:sz w:val="20"/>
          <w:szCs w:val="20"/>
          <w:rtl w:val="0"/>
        </w:rPr>
        <w:t xml:space="preserve">= «tsatel&gt;», </w:t>
      </w:r>
      <w:r w:rsidDel="00000000" w:rsidR="00000000" w:rsidRPr="00000000">
        <w:rPr>
          <w:rFonts w:ascii="Palatino Linotype" w:cs="Palatino Linotype" w:eastAsia="Palatino Linotype" w:hAnsi="Palatino Linotype"/>
          <w:i w:val="1"/>
          <w:iCs w:val="1"/>
          <w:sz w:val="20"/>
          <w:szCs w:val="20"/>
          <w:rtl w:val="0"/>
        </w:rPr>
        <w:t xml:space="preserve">notéo </w:t>
      </w:r>
      <w:r w:rsidDel="00000000" w:rsidR="00000000" w:rsidRPr="00000000">
        <w:rPr>
          <w:rFonts w:ascii="Palatino Linotype" w:cs="Palatino Linotype" w:eastAsia="Palatino Linotype" w:hAnsi="Palatino Linotype"/>
          <w:sz w:val="20"/>
          <w:szCs w:val="20"/>
          <w:rtl w:val="0"/>
        </w:rPr>
        <w:t xml:space="preserve">= &lt;notero&gt;.</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Des accents nen n’at lo mouens possiblo, lo pi de tcheuts cit a tsapel (lo circonflexe) que plachà su les &lt;a&gt; reste a indequer que pouvont étre etot lisus /o/ (pâs, bâs, alâ, tornâ, restâ, ...).</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 Cerlogne reste lo &lt;-ill-&gt; per des paroles come: «reille», &lt;feille&gt;, &lt;veille&gt;, &lt;fameille&gt;.</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surtot — et cé l’auteur l’at preis les distances di CIF — les grafemes &lt;ts&gt; et &lt;dz&gt;, mis etot les &lt;tch&gt; et &lt;dj&gt; (eisemplo: &lt;tsanter&gt;, &lt;dzouyier&gt;, &lt;tcheuts&gt;, &lt;djemi&gt;) que caraterisont les prononces dens bien de patoés valdotens et vardont an fenetra uverta di couté de la foneteca.</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Per qui l’at des defecultâs a lire dz’ei, toteun, aprestâ la verchon sonora de tcheuts les tsapitres, paré come la prononço mé, bien cheur.</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En passent a travers lo code QR on pout tot acouter.</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Finque la tsanson ecrita esprés.</w:t>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Ara toteun preu. Me reste renque a dire, bona leiteura!</w:t>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0">
      <w:pPr>
        <w:spacing w:line="240" w:lineRule="auto"/>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1590675" cy="1571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067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24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www.perrony-vda.eu</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