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rFonts w:ascii="Palatino Linotype" w:cs="Palatino Linotype" w:eastAsia="Palatino Linotype" w:hAnsi="Palatino Linotype"/>
          <w:i w:val="1"/>
          <w:iCs w:val="1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Ceta l’est un’ovra d’invenchon,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Palatino Linotype" w:cs="Palatino Linotype" w:eastAsia="Palatino Linotype" w:hAnsi="Palatino Linotype"/>
          <w:i w:val="1"/>
          <w:iCs w:val="1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mis les dates et les referances sont vreyes,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Palatino Linotype" w:cs="Palatino Linotype" w:eastAsia="Palatino Linotype" w:hAnsi="Palatino Linotype"/>
          <w:i w:val="1"/>
          <w:iCs w:val="1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les dzens citayes l’ant eisistâ per dabon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Palatino Linotype" w:cs="Palatino Linotype" w:eastAsia="Palatino Linotype" w:hAnsi="Palatino Linotype"/>
          <w:i w:val="1"/>
          <w:iCs w:val="1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et les feits contâs sont franc acapitàs.</w:t>
      </w:r>
    </w:p>
    <w:p w:rsidR="00000000" w:rsidDel="00000000" w:rsidP="00000000" w:rsidRDefault="00000000" w:rsidRPr="00000000" w14:paraId="00000029">
      <w:pPr>
        <w:spacing w:line="240" w:lineRule="auto"/>
        <w:jc w:val="center"/>
        <w:rPr>
          <w:rFonts w:ascii="Palatino Linotype" w:cs="Palatino Linotype" w:eastAsia="Palatino Linotype" w:hAnsi="Palatino Linotype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jc w:val="center"/>
        <w:rPr>
          <w:rFonts w:ascii="Palatino Linotype" w:cs="Palatino Linotype" w:eastAsia="Palatino Linotype" w:hAnsi="Palatino Linotype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jc w:val="center"/>
        <w:rPr>
          <w:rFonts w:ascii="Palatino Linotype" w:cs="Palatino Linotype" w:eastAsia="Palatino Linotype" w:hAnsi="Palatino Linotype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jc w:val="center"/>
        <w:rPr>
          <w:rFonts w:ascii="Palatino Linotype" w:cs="Palatino Linotype" w:eastAsia="Palatino Linotype" w:hAnsi="Palatino Linotype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jc w:val="center"/>
        <w:rPr>
          <w:rFonts w:ascii="Palatino Linotype" w:cs="Palatino Linotype" w:eastAsia="Palatino Linotype" w:hAnsi="Palatino Linotype"/>
          <w:b w:val="1"/>
          <w:bCs w:val="1"/>
          <w:sz w:val="28"/>
          <w:szCs w:val="28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28"/>
          <w:szCs w:val="28"/>
          <w:rtl w:val="0"/>
        </w:rPr>
        <w:t xml:space="preserve">I</w:t>
      </w:r>
    </w:p>
    <w:p w:rsidR="00000000" w:rsidDel="00000000" w:rsidP="00000000" w:rsidRDefault="00000000" w:rsidRPr="00000000" w14:paraId="0000002E">
      <w:pPr>
        <w:spacing w:line="240" w:lineRule="auto"/>
        <w:jc w:val="center"/>
        <w:rPr>
          <w:rFonts w:ascii="Palatino Linotype" w:cs="Palatino Linotype" w:eastAsia="Palatino Linotype" w:hAnsi="Palatino Linotype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jc w:val="center"/>
        <w:rPr>
          <w:rFonts w:ascii="Palatino Linotype" w:cs="Palatino Linotype" w:eastAsia="Palatino Linotype" w:hAnsi="Palatino Linotype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TETA LO BAS, Sandrine continuave a avetchier la pouente de sines soques ferrayes. Tsouyave yeu pouser les piàs, su lo tsemin anevà que meinave tchi lieu en Vanontey (Valnontey) et s'aprestave a tracomer (traverser) la nei massechaye per çala laventse que l’ayet portâ-lei vià, dous dzors devant, l’homo, l’amour de ses pi dzents dzors, lo papa de ses treis meinàs (ou 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meinous </w:t>
      </w: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a selon dis patoés).</w:t>
      </w:r>
    </w:p>
    <w:p w:rsidR="00000000" w:rsidDel="00000000" w:rsidP="00000000" w:rsidRDefault="00000000" w:rsidRPr="00000000" w14:paraId="00000031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ab/>
        <w:t xml:space="preserve">Que nen saret-ti itâ de lieu ara? Lo tracas de pâs escarrer (sarie 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glisser</w:t>
      </w: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) ou d’inflondjier per la nei, se miclave a la disperachon que la tormentave. Pensave a la via que s'aprestave per lieu a vingt-et-huet ans, atot an popouna de dous meis que l’ategnave per queuquier, un meinaillon de quase dous ans, degordì come tot, et an megnotina de treis ans et djemi.</w:t>
      </w:r>
    </w:p>
    <w:p w:rsidR="00000000" w:rsidDel="00000000" w:rsidP="00000000" w:rsidRDefault="00000000" w:rsidRPr="00000000" w14:paraId="00000032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ab/>
        <w:t xml:space="preserve">Qui l’arie-ti baillà-lei la force et les moyens de penser a leur, ara que Batista l’ére pamis?</w:t>
      </w:r>
    </w:p>
    <w:p w:rsidR="00000000" w:rsidDel="00000000" w:rsidP="00000000" w:rsidRDefault="00000000" w:rsidRPr="00000000" w14:paraId="00000033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ab/>
        <w:t xml:space="preserve">Bert, son frére, la vardave desot bras et, cheur, l’arie empatchà-lei de colater, mis liu l’ayet pâs lo coradzo de predjier et les penchéres dens la teta de Sandrine s'envertoillavont et Sembrognavont a pâs fenir.</w:t>
      </w:r>
    </w:p>
    <w:p w:rsidR="00000000" w:rsidDel="00000000" w:rsidP="00000000" w:rsidRDefault="00000000" w:rsidRPr="00000000" w14:paraId="00000034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ab/>
        <w:t xml:space="preserve">Les dous tornavont su de Cogne a piàs apris la seporteura et l’oficialitâ de çala matenâ di 20 diesembro 1912 l’ére itaye telamente importanta que l’ayet pâs quetâ-lei un moment per penser: totes cales dzens a lei moutrer solidarità et a lei fére coradzo.</w:t>
      </w:r>
    </w:p>
    <w:p w:rsidR="00000000" w:rsidDel="00000000" w:rsidP="00000000" w:rsidRDefault="00000000" w:rsidRPr="00000000" w14:paraId="00000035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ab/>
        <w:t xml:space="preserve">Arrevâs yeu se entreveyont Lou Tsentelet et meison, tot l’at comenchà a reboudjier per dedens. Coment? Quand? Avouì qui? Coudire? Que l’ayet-ti feit per mereter una eprouva dura paré dedens sina via?</w:t>
      </w:r>
    </w:p>
    <w:p w:rsidR="00000000" w:rsidDel="00000000" w:rsidP="00000000" w:rsidRDefault="00000000" w:rsidRPr="00000000" w14:paraId="00000036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ab/>
        <w:t xml:space="preserve">Et Batista, que fâta l’aret-ti avu de traverser cit tsenail de Vijeusa avouì tota la nei que l’ére venua...</w:t>
      </w:r>
    </w:p>
    <w:p w:rsidR="00000000" w:rsidDel="00000000" w:rsidP="00000000" w:rsidRDefault="00000000" w:rsidRPr="00000000" w14:paraId="00000037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ab/>
        <w:t xml:space="preserve">Mis quintes coulpes vouillet-ti lei baillier? Les gardes-tsasse di Rei l’ant la leur reusca a prendre dens lo travail que fànt et pués liu l’ayet son caratero: pâs</w:t>
      </w:r>
    </w:p>
    <w:sectPr>
      <w:pgSz w:h="12240" w:w="15840" w:orient="landscape"/>
      <w:pgMar w:bottom="720" w:top="720" w:left="720" w:right="720" w:header="720" w:footer="720"/>
      <w:pgNumType w:start="1"/>
      <w:cols w:equalWidth="0" w:num="2">
        <w:col w:space="720" w:w="6840"/>
        <w:col w:space="0" w:w="68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tino Linotyp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tinoLinotype-regular.ttf"/><Relationship Id="rId2" Type="http://schemas.openxmlformats.org/officeDocument/2006/relationships/font" Target="fonts/PalatinoLinotype-bold.ttf"/><Relationship Id="rId3" Type="http://schemas.openxmlformats.org/officeDocument/2006/relationships/font" Target="fonts/PalatinoLinotype-italic.ttf"/><Relationship Id="rId4" Type="http://schemas.openxmlformats.org/officeDocument/2006/relationships/font" Target="fonts/PalatinoLinotyp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