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 çala parola Vital l’ayet sentu lo trevolin bâs per l’etsena, magara l’ayet finque tsandjà coleur, mis nieun s’ére aperçu; toteun, cen que liu sayet de Perrony, l’ére pâs prest a lo conter, ni a leur, ni a d’atres.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Per boneur, an demanda de Merì l’at troblâ la tenchon.</w:t>
      </w:r>
    </w:p>
    <w:p w:rsidR="00000000" w:rsidDel="00000000" w:rsidP="00000000" w:rsidRDefault="00000000" w:rsidRPr="00000000" w14:paraId="00000003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«Mis, cit nom de meison “Perrony” de ya vint-ti?»</w:t>
      </w:r>
    </w:p>
    <w:p w:rsidR="00000000" w:rsidDel="00000000" w:rsidP="00000000" w:rsidRDefault="00000000" w:rsidRPr="00000000" w14:paraId="00000004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«La fei l’est ità inventâ» l’at repondu Pierrot «l’ére-ti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pâs un enfant de fortune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? Dz’ei finque sentu dire que pouchet étre garçon dou Rei Vitor II!»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«Dis tchica pâs des betises» l’at reagi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Nossan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«ceta ouè que l’est an dzenta fierla: Perrony l’ére-ti pâs neissu la veille de Tsalende di ’79? Et adonc! Lo Rei Vitor, lo meis de janvier di ’78, l’ére dza mort! Quase dous ans devant!»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Quaques precisions en pi, renque Vital pouchet les baillier: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«Vitorien Courthoud de Sent-Dzordzo, que l’ére cé totara, garda liu etot,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jubilâ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(en penchon) deis l’an passâ, a cosa de la tsamba malada, l’arie poussu tot vos dire: l’est la fameille de liu que l’at alevâ-lo, come un frére, su a Melignon de Sent-Dzordzo et... l’ayet un atro nom de meison devant que “Perrony”. I l’ére neissu a Quart, det aveir incora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lou papà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per lé, mis les dous l’érant todzor en rusa. Cen que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de sei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(dze sé) pàs bien, l’est coment nen vat que l’est alâ fenir su per la comba de Rima. En Cogne... mis ço vos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lou sades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vos etot… l’est arrevâ choués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ens fait, quen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...»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«..quand l’at mariâ un Amaveullentse de Sarvaneire» l’at deut adonc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Nossan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, lo Vieyen «an Charruaz, memo nom de meison de mé, Sandrine, de la brantse dis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Mandjeun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».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Alice, la dzovena tsambrére de la Grivoulò l’ayet en atendent pousâ dessus la tabla lo cabaret avouì quatro veiros de vin. Vital l’ayet pâs comandâ ren, l’ayet pâs voya de beire et a voués bâssa l’ayet renque magreyà: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«L'ére preu un bravo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dzouvenno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Batista, tchica brivo, mis an brava dzent. Per me l’est come aveir perdu un atro garçon».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An via queurta et ordinéra, çala de Batista (Jean-Baptiste Vincent Perrony), mis que nos at feit avolonter de prendre la peina de vos la conter.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8"/>
          <w:szCs w:val="28"/>
          <w:rtl w:val="0"/>
        </w:rPr>
        <w:t xml:space="preserve">II</w:t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LÉRE DJEUSTO BEICHÀ de la pousta devant l’Hotel Londres a Tsateillon (Châtillon), l’ayet tsardjà su les epales la sina bouéte dis quincailles et, dens cit venteuis meis de mars di 1879, s’aprestave a continuer a piàs la rota que de Tsaméan (Chaméran) l’arie portâ-lo a passer per Gros Breil, Freyan et La Bedegaz, devant que arrever i borg de Tsamboa (Chambave).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L’ére toteun restâ incora un moment a avetchier, avouì bien de curiositâ, les dous Anglés beichàs de la diligensa avouì liu. De cen que l’ayet compreis s'arretavont an neit i Londres devant que monter su per la Votornentse (Valtournenche) et apris aler canque i Breuil per vére la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Gran Becca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(lo Mont Cervin).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Drola de seison p'aler fére cit voyadzo, avouì la nei que dejet incora lei étre per lé; toteun, semblavont bien aprestâs et l’ayant detsardjà bagadzos, sacs et pistoques (sariant les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alpenstocks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per les Votornens).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Gepin l’ére restâ les avetchier en se demandent cenque poussave çales dzens a venir de louen paré per vére et, de coup, grimpeillier su per les montagnes: an pachon inutila.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Liu, is montagnes et is rouéses de la Valada d’Outa, l’ayet jamis baillà trop fei; l’ére bin dza lo second coup que vegnave, mis l’ére todzor restâ bâs per la plana, l’ayet frecantâ renque les veladzos lo long de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Djouére 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(la Doiree Baltée) et l’ére inco’ gninca alâ canque en Veulla (Aoste). Magara c.it an l’arie feit-lo, vu que l’ére quase en tren de decider de rester inque et pamis torner en derrier a son pays.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La localitâ yeu l’ére neissu l’ayet nom Casale Corte Cerro (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Cäsàal dlä Cort Cèrä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), i veladzo Ramate; fejet comeuna avouì Gravellona Toce et, per simplicitâ, lei dijant tcheuts renque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Casal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ab/>
        <w:t xml:space="preserve">Liu l’ére donc cougnu coment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Gepin ed Casal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, garçon de Teresa Peroni,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figlio di N.N.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di couté de papa (defenichon di certificat de neissance que l’ayet</w:t>
      </w:r>
    </w:p>
    <w:sectPr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