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Variste de Mandijeun</w:t>
      </w:r>
      <w:r w:rsidDel="00000000" w:rsidR="00000000" w:rsidRPr="00000000">
        <w:rPr>
          <w:rFonts w:ascii="Palatino Linotype" w:cs="Palatino Linotype" w:eastAsia="Palatino Linotype" w:hAnsi="Palatino Linotype"/>
          <w:sz w:val="20"/>
          <w:szCs w:val="20"/>
          <w:rtl w:val="0"/>
        </w:rPr>
        <w:t xml:space="preserve"> (Joseph Évariste Charruaz) l’ére un di forteunâ: an vatse i beu (</w:t>
      </w:r>
      <w:r w:rsidDel="00000000" w:rsidR="00000000" w:rsidRPr="00000000">
        <w:rPr>
          <w:rFonts w:ascii="Palatino Linotype" w:cs="Palatino Linotype" w:eastAsia="Palatino Linotype" w:hAnsi="Palatino Linotype"/>
          <w:i w:val="1"/>
          <w:iCs w:val="1"/>
          <w:sz w:val="20"/>
          <w:szCs w:val="20"/>
          <w:rtl w:val="0"/>
        </w:rPr>
        <w:t xml:space="preserve">étable</w:t>
      </w:r>
      <w:r w:rsidDel="00000000" w:rsidR="00000000" w:rsidRPr="00000000">
        <w:rPr>
          <w:rFonts w:ascii="Palatino Linotype" w:cs="Palatino Linotype" w:eastAsia="Palatino Linotype" w:hAnsi="Palatino Linotype"/>
          <w:sz w:val="20"/>
          <w:szCs w:val="20"/>
          <w:rtl w:val="0"/>
        </w:rPr>
        <w:t xml:space="preserve">, etot </w:t>
      </w:r>
      <w:r w:rsidDel="00000000" w:rsidR="00000000" w:rsidRPr="00000000">
        <w:rPr>
          <w:rFonts w:ascii="Palatino Linotype" w:cs="Palatino Linotype" w:eastAsia="Palatino Linotype" w:hAnsi="Palatino Linotype"/>
          <w:i w:val="1"/>
          <w:iCs w:val="1"/>
          <w:sz w:val="20"/>
          <w:szCs w:val="20"/>
          <w:rtl w:val="0"/>
        </w:rPr>
        <w:t xml:space="preserve">beui</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baou </w:t>
      </w:r>
      <w:r w:rsidDel="00000000" w:rsidR="00000000" w:rsidRPr="00000000">
        <w:rPr>
          <w:rFonts w:ascii="Palatino Linotype" w:cs="Palatino Linotype" w:eastAsia="Palatino Linotype" w:hAnsi="Palatino Linotype"/>
          <w:sz w:val="20"/>
          <w:szCs w:val="20"/>
          <w:rtl w:val="0"/>
        </w:rPr>
        <w:t xml:space="preserve">et memo </w:t>
      </w:r>
      <w:r w:rsidDel="00000000" w:rsidR="00000000" w:rsidRPr="00000000">
        <w:rPr>
          <w:rFonts w:ascii="Palatino Linotype" w:cs="Palatino Linotype" w:eastAsia="Palatino Linotype" w:hAnsi="Palatino Linotype"/>
          <w:i w:val="1"/>
          <w:iCs w:val="1"/>
          <w:sz w:val="20"/>
          <w:szCs w:val="20"/>
          <w:rtl w:val="0"/>
        </w:rPr>
        <w:t xml:space="preserve">éteu</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ehtabio</w:t>
      </w:r>
      <w:r w:rsidDel="00000000" w:rsidR="00000000" w:rsidRPr="00000000">
        <w:rPr>
          <w:rFonts w:ascii="Palatino Linotype" w:cs="Palatino Linotype" w:eastAsia="Palatino Linotype" w:hAnsi="Palatino Linotype"/>
          <w:sz w:val="20"/>
          <w:szCs w:val="20"/>
          <w:rtl w:val="0"/>
        </w:rPr>
        <w:t xml:space="preserve">), papa Gueuste que l’ére garda-tsasse de la Reserva Royala atot bon gagnadzo, dzent garçon et pâs des fréres ni des sereus. Alave pâs tant d’acord avouì Caroline (Bochet) — la maratra, la fena que l’ayet marià son papa, apris la mort de sina mama Basilisse (di Savioz) quand liu l’ayet maque treis ans et lieu pâs inco’ trenta — mis magré cen, a dies-et-huet ans la sina eisistance lei baillave pâs des grous tracas.</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tchi </w:t>
      </w:r>
      <w:r w:rsidDel="00000000" w:rsidR="00000000" w:rsidRPr="00000000">
        <w:rPr>
          <w:rFonts w:ascii="Palatino Linotype" w:cs="Palatino Linotype" w:eastAsia="Palatino Linotype" w:hAnsi="Palatino Linotype"/>
          <w:i w:val="1"/>
          <w:iCs w:val="1"/>
          <w:sz w:val="20"/>
          <w:szCs w:val="20"/>
          <w:rtl w:val="0"/>
        </w:rPr>
        <w:t xml:space="preserve">Fine de Revetta</w:t>
      </w:r>
      <w:r w:rsidDel="00000000" w:rsidR="00000000" w:rsidRPr="00000000">
        <w:rPr>
          <w:rFonts w:ascii="Palatino Linotype" w:cs="Palatino Linotype" w:eastAsia="Palatino Linotype" w:hAnsi="Palatino Linotype"/>
          <w:sz w:val="20"/>
          <w:szCs w:val="20"/>
          <w:rtl w:val="0"/>
        </w:rPr>
        <w:t xml:space="preserve"> (Marie Séraphine Bérard), i contrero, la meuseca l’ére pâs la mema. L’ayet un frére et an sercu pi vious et d’atres daves sereus arrevayes apris: a vingt-et-cing ans pouchet cheur pâs dire d’aveir dzousu la via. Pi que d’atro l’ayet un reprodzo a se fére dens cit tsâtemps di ’79: la feiblesse d’aveir pretâ-la (et pâs renque un coup!) franc a cit blondo eredzo de Variste, magara en esperent de se vére mariaye, belle se liu l’ayet choués ans mouens.</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les bagues l’ant pâs fonchonà selon cen et, quand i meis d’avril de cit 1880 l’est neissu un bo meinà, Fine l’at falu lei baillier lo sin nom de meison, perqué Variste l’at pâs voulu nen saveir de lo recougnitre.</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l’arie vardâ-lo et alevâ-lo daperlieu lo petchout Casemir Bérard. Et papa Tchande (Alexandre) et mama Pacefeca (Pacifique) l’ant falu aceter dens la fameille cala botse en pi a nourrir.</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l’ayet deut Tchande «que vous-te fére, la coteuma de “feter Pâque a Ramoliva” (aveir un meinà devant que lo mariadzo) l’est pâs presta de fenir!»</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Mouens fatalistes l’érant itâ dens la fameille dis </w:t>
      </w:r>
      <w:r w:rsidDel="00000000" w:rsidR="00000000" w:rsidRPr="00000000">
        <w:rPr>
          <w:rFonts w:ascii="Palatino Linotype" w:cs="Palatino Linotype" w:eastAsia="Palatino Linotype" w:hAnsi="Palatino Linotype"/>
          <w:i w:val="1"/>
          <w:iCs w:val="1"/>
          <w:sz w:val="20"/>
          <w:szCs w:val="20"/>
          <w:rtl w:val="0"/>
        </w:rPr>
        <w:t xml:space="preserve">Mandjeun</w:t>
      </w:r>
      <w:r w:rsidDel="00000000" w:rsidR="00000000" w:rsidRPr="00000000">
        <w:rPr>
          <w:rFonts w:ascii="Palatino Linotype" w:cs="Palatino Linotype" w:eastAsia="Palatino Linotype" w:hAnsi="Palatino Linotype"/>
          <w:sz w:val="20"/>
          <w:szCs w:val="20"/>
          <w:rtl w:val="0"/>
        </w:rPr>
        <w:t xml:space="preserve">, yeu Gueuste l’ayet setout arretâ Variste en lei dient:</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voudret pâs te marier dzoveno paré! Et nos fére micler avouì an fameille que l’at pâs des biens! ‘Tampi per lo predzo dis dzens».</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dzens, que debilavant sont todzor prestes a dire des gloriapatres apris les atres, bien cheur l’ayant predjà. Paré, qui l’ayet incora des doutances, l’at vito savu qui l’ére lo coupablo de la “djestra” consemaye a Fine.</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l’an 1880 l’ére destinâ a étre rapelâ per les Sarvanolens cheur pâs renque per la neissance de Casemir Bérard, mis pitout per la conta d’un atro Bérard, que de nom fejet Léger. Garda-tsasse liu etot, a quarent’ans l’est itâ assassenâ lo dedzou 14 otobro: tchouet avouì un grous baton, ou un mandzo d’an pioula ou d’un peuc. Un drama que l’at bouleversâ pâs poca et per grant temps tot lo veladzo, en quetent etot la marca dens les ans apris.</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Cit dedzou, lo matin devant que dzor, Léger l’ayet profitâ de la dzornâ libra di servicho per monter i mayen de Plan Bouque, a djemi heura a piàs su damont lo veladzo. Lé, quaqu’un l’at chouvu-lo, l’at probablamente (ou tot per cheur?) templâ-lei de derrier an premiere mandjà dessus la teta et apris l’at fenet-lo sensa nieuna compachon avouì vas saveir vero d’atres creps.</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l’acaper, vers huet heures di matin, l’est itâ franc Gueuste de Mandjeun, garda liu etot, come l’est dza itâ deut. L’ére parti p'aler eutre en Plan Pessey et apris en Leutta et su i Tsantel, mis arrevâ i Mont di Gueule l’at pensâ de ralondjier lo tsemin. L’at adonc copâ eutre per lo Plan di Crétet canque i Trontset et i Foillet et apris su a Plan Bouque per saluyier son compagnon de travail, devant que torner su ses pàs et reprendre lo sin tsemin.</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Pensave-pi de se vére venir incontre lo tsin, Iouque, un berdjier allemand que acompagnave todzor son patron, mis quand l’ére quase arrevâ su et l’ayet pâs incora vu nieun l’ayet invionâ a s’alerter.</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«Quaque tsousa l’est pâs normal houi» l’at pensâ.</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quand l’at trouvâ-lo a couté di trone p’ecliaper lo bouque a reversa, tot en sang, avouì la teta que moutrave les cervalles, l’at sentu tot reboudjier per dedens et l’at renque queriâ desesperâ: «Légéeee...»</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pouro Léger l’ére pâs incora mort et l’at terià un par de coups lo flâ devant que mouére lé devant liu. Qui pouchet-ti étre a aveir feit un crimo orriblo come cit?</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un homo, un moustro!» l’at pensâ Gueuste.</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l’est parti bâs a galop baillier l’alarmo: de Plan Bouque en Sarvaneire l’ére jamis alâ vito paré.</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avisâ les dous fréres Bérard, </w:t>
      </w:r>
      <w:r w:rsidDel="00000000" w:rsidR="00000000" w:rsidRPr="00000000">
        <w:rPr>
          <w:rFonts w:ascii="Palatino Linotype" w:cs="Palatino Linotype" w:eastAsia="Palatino Linotype" w:hAnsi="Palatino Linotype"/>
          <w:i w:val="1"/>
          <w:iCs w:val="1"/>
          <w:sz w:val="20"/>
          <w:szCs w:val="20"/>
          <w:rtl w:val="0"/>
        </w:rPr>
        <w:t xml:space="preserve">Pol </w:t>
      </w:r>
      <w:r w:rsidDel="00000000" w:rsidR="00000000" w:rsidRPr="00000000">
        <w:rPr>
          <w:rFonts w:ascii="Palatino Linotype" w:cs="Palatino Linotype" w:eastAsia="Palatino Linotype" w:hAnsi="Palatino Linotype"/>
          <w:sz w:val="20"/>
          <w:szCs w:val="20"/>
          <w:rtl w:val="0"/>
        </w:rPr>
        <w:t xml:space="preserve">et </w:t>
      </w:r>
      <w:r w:rsidDel="00000000" w:rsidR="00000000" w:rsidRPr="00000000">
        <w:rPr>
          <w:rFonts w:ascii="Palatino Linotype" w:cs="Palatino Linotype" w:eastAsia="Palatino Linotype" w:hAnsi="Palatino Linotype"/>
          <w:i w:val="1"/>
          <w:iCs w:val="1"/>
          <w:sz w:val="20"/>
          <w:szCs w:val="20"/>
          <w:rtl w:val="0"/>
        </w:rPr>
        <w:t xml:space="preserve">Leisir</w:t>
      </w:r>
      <w:r w:rsidDel="00000000" w:rsidR="00000000" w:rsidRPr="00000000">
        <w:rPr>
          <w:rFonts w:ascii="Palatino Linotype" w:cs="Palatino Linotype" w:eastAsia="Palatino Linotype" w:hAnsi="Palatino Linotype"/>
          <w:sz w:val="20"/>
          <w:szCs w:val="20"/>
          <w:rtl w:val="0"/>
        </w:rPr>
        <w:t xml:space="preserve">, de passer la voués et d’aler su a Plan Bouque, mis de pâs totchier ren.</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«Pregnades-vos varda!» l’at deut-lei.</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l’est parti dzu a lambo en Vieyes, per la requercha dis Etchelettes, vére coment aviser les Carabeniers. Se l’ére lo cas, sarie etot alâ canque bâs en plan. En atendent l’ayet avu lo temps d’armanaquer: «An garda di Rei tchouet a batonés... la quinta tragedìa per tcheuts nos. Quinta vergogne! Et magara finque an vendjance per cosa di servicho... na... na... toteun pout pâs étre un braconier... Et se fusse per dzaleison? Mis qui? La fena? Pâs possiblo, per leveta que sieye... na... na...»</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novela l’at pâs tant beutâ a arrever bâs is Carabeniers de Veulla et dza lo temps de nona quatro “coreyes blantses”, finque un marechal et un</w:t>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