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les temoens l’ant segnà lo certificat de neissance dimenque lieu, que debilavant écrire sayet pâs, l’at marcâ lo papier avouì an creus.</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Parren et feilloula l’ant apris tornâ apeillier su per lo tsemin de la Dzetâ en s'arretent renque an pousa a dire un </w:t>
      </w:r>
      <w:r w:rsidDel="00000000" w:rsidR="00000000" w:rsidRPr="00000000">
        <w:rPr>
          <w:rFonts w:ascii="Palatino Linotype" w:cs="Palatino Linotype" w:eastAsia="Palatino Linotype" w:hAnsi="Palatino Linotype"/>
          <w:i w:val="1"/>
          <w:iCs w:val="1"/>
          <w:sz w:val="20"/>
          <w:szCs w:val="20"/>
          <w:rtl w:val="0"/>
        </w:rPr>
        <w:t xml:space="preserve">Pater </w:t>
      </w:r>
      <w:r w:rsidDel="00000000" w:rsidR="00000000" w:rsidRPr="00000000">
        <w:rPr>
          <w:rFonts w:ascii="Palatino Linotype" w:cs="Palatino Linotype" w:eastAsia="Palatino Linotype" w:hAnsi="Palatino Linotype"/>
          <w:sz w:val="20"/>
          <w:szCs w:val="20"/>
          <w:rtl w:val="0"/>
        </w:rPr>
        <w:t xml:space="preserve">et un'</w:t>
      </w:r>
      <w:r w:rsidDel="00000000" w:rsidR="00000000" w:rsidRPr="00000000">
        <w:rPr>
          <w:rFonts w:ascii="Palatino Linotype" w:cs="Palatino Linotype" w:eastAsia="Palatino Linotype" w:hAnsi="Palatino Linotype"/>
          <w:i w:val="1"/>
          <w:iCs w:val="1"/>
          <w:sz w:val="20"/>
          <w:szCs w:val="20"/>
          <w:rtl w:val="0"/>
        </w:rPr>
        <w:t xml:space="preserve">Ave</w:t>
      </w:r>
      <w:r w:rsidDel="00000000" w:rsidR="00000000" w:rsidRPr="00000000">
        <w:rPr>
          <w:rFonts w:ascii="Palatino Linotype" w:cs="Palatino Linotype" w:eastAsia="Palatino Linotype" w:hAnsi="Palatino Linotype"/>
          <w:sz w:val="20"/>
          <w:szCs w:val="20"/>
          <w:rtl w:val="0"/>
        </w:rPr>
        <w:t xml:space="preserve"> a l’oratoero Borney damont La Poyà — yeu l’enqueurà de Sent-Léger vint fére la levateura dis morts de Vieyes et Sarvaneire — tant per gagnier les quarenta dzors d’indulgence.</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Pués, sont tornâs diret su en Vieyes per predjier avouì lo reiteur Genotto, cit que dous dzors apris la neissance l’ayet bateyà la petchouda. Et l’ant feulâ su en Sarvaneire.</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«T’às dza alevâ-nen un» lei dijet lo parren en la quetent su lo linder de la pourta de meison «t’arreve-pi preu a nen alever un atro. Tes parents te eidzont-pi et nos etot: feis-te maque coradzo. Et tampi se te fât-pi rester tanta» (esprechon que se dit per defenir an feitlle que se marie pâs).</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l’ére lo papa, Fine l’ayet pâs voulu lo reveler gninca cit coup, mis tcheuts per lé alentor, surtot les pi tsapletes que lei escapave jamis ren, l’ayant preu compreis que l’ayet torna cedâ a l’intsarmo de Variste de Mandjeun et liu, recidivo, l’ayet mis torna refusâ de reparer a son comportement humen maloneto et pâs respetuyeus dis loués cretchenes.</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renque, i boueil de la tsapala a laver les patins, l’ayant sentu dire que: «Cit viveur de Variste n’at jamis preu, ara semble que aleye dentor a un’atra Fine, que l’at maque dies-et-huet ans, la feille de Gabriel Borney, mort l’an passâ».</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ceta voués anonima... l’ayet belle reison.</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Variste que, ren a dire, l’ére un dzent homo, se gabave etot d’étre lo feus uneco d’un garda-tsasse di Rei et profitave de son etat per “volater de fleur en fleur” come fânt les pavioules.</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per ren tsantave chovent (perqué, come se bastusse pâs, l’ayet etot an dzenta voués) la tsanson di [</w:t>
      </w:r>
      <w:r w:rsidDel="00000000" w:rsidR="00000000" w:rsidRPr="00000000">
        <w:rPr>
          <w:rFonts w:ascii="Palatino Linotype" w:cs="Palatino Linotype" w:eastAsia="Palatino Linotype" w:hAnsi="Palatino Linotype"/>
          <w:i w:val="1"/>
          <w:iCs w:val="1"/>
          <w:sz w:val="20"/>
          <w:szCs w:val="20"/>
          <w:rtl w:val="0"/>
        </w:rPr>
        <w:t xml:space="preserve">Beau papillon volage</w:t>
      </w:r>
      <w:r w:rsidDel="00000000" w:rsidR="00000000" w:rsidRPr="00000000">
        <w:rPr>
          <w:rFonts w:ascii="Palatino Linotype" w:cs="Palatino Linotype" w:eastAsia="Palatino Linotype" w:hAnsi="Palatino Linotype"/>
          <w:sz w:val="20"/>
          <w:szCs w:val="20"/>
          <w:rtl w:val="0"/>
        </w:rPr>
        <w:t xml:space="preserve">] que i second coplet fet:</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Si l'amour avait des ailes</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comme le papillon volant,</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je roulerais de bourg en ville</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pour aller chercher mon mignon</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et cueillir la rose dans sa saison.</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sentua-la su en Cogne et pâs renque l’ayet apreisa-la, l’aplecave. Et coment!</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Toteun, se son papa l’ache pâs aprouvâ l’arie pâs poussu fére la via que fejet. Et de la maratra Caroline — la seconda fena di viou Mandjeun — gninca nen predjier: pouchant pâs se vére.</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Classefiâ de treijema a la veseuta (quand l’ayet pâs mancâ de passer a la “meison di seucro”), Variste l’ayet dza escampâ lo servicho militero et a vingt-et-dous ans l’ayet incora l’espoer de venir garda liu etot un dzor, perqué lo reillement l’est severo:</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1. fât étre san et honeto;</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2. aveir mouens de vingt-et-choués ans et acompli les oblegachons militeres;</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3. pâs étre mariâ et saveir lire et écrire.</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cices pouents fât nen adjeundre etot un quatremo: aveir quaqu’un per dire an bona parola. Et qui d’atres que son papa pouchet lo fére? Et paré l’ére tranquilo, belle se l’ayet dous meinàs pâs recougnus, donc “dous batards”, selon les dzens.</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savu qu'en Cogne un garda que l’ayet cinq ans depi que liu, Vital Jeantet (garçon d’un garda liu etot) l’ayet dza treis meinàs et l’ére mariâ maque a l’éillise et pâs civilo, franc perqué l’ayet pâs incora vingt-et-choués ans. Variste toteun l’ayet nieuna intenchon ni de se marier — gninca a l’éillise — ni de se micler avouì les Bérard. Et l’ére çala etot, et surtot, la volontâ de son papa.</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Comodo adrechier ses comportements quand les parents aprouvont!</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su a Melignon de Sent-Dzordo dens la fameille Courthoud, tot l’ére alâ amodo per quase un an et djemi, lo petchout Batista (que ara l’ére per tcheuts </w:t>
      </w:r>
      <w:r w:rsidDel="00000000" w:rsidR="00000000" w:rsidRPr="00000000">
        <w:rPr>
          <w:rFonts w:ascii="Palatino Linotype" w:cs="Palatino Linotype" w:eastAsia="Palatino Linotype" w:hAnsi="Palatino Linotype"/>
          <w:i w:val="1"/>
          <w:iCs w:val="1"/>
          <w:sz w:val="20"/>
          <w:szCs w:val="20"/>
          <w:rtl w:val="0"/>
        </w:rPr>
        <w:t xml:space="preserve">Titeun</w:t>
      </w:r>
      <w:r w:rsidDel="00000000" w:rsidR="00000000" w:rsidRPr="00000000">
        <w:rPr>
          <w:rFonts w:ascii="Palatino Linotype" w:cs="Palatino Linotype" w:eastAsia="Palatino Linotype" w:hAnsi="Palatino Linotype"/>
          <w:sz w:val="20"/>
          <w:szCs w:val="20"/>
          <w:rtl w:val="0"/>
        </w:rPr>
        <w:t xml:space="preserve">) l’ayet preis sa place, acocolâ per Toyen et per ses daves grousses sereus et les dous parents l’ayant trouvâ un nouvo equilibro en alevent cit meinà.</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bagues sont precipitayes i meis de novembro et nieun s’ategnave an baga semblabla: l’est morta mama Sofie! An mort sebeuta, sensa que nieun l’ache poussu fére ren et cen l’at tapâ la fameille dens la disperachon.</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sat heures di neit et Sofie l’ére en tren d’aprester cina, come tcheuts les dzors, quand tot p’un moment l’at portâ les mans a l’estomac, les tsambes l’ant cédâ et l’est alaye bâs a la reversa.</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Coutide et Poline, memo Tounin — Toyen l’ére bâs desot i beu — l’ant preu tsertchà de la secoure, mis les sentements l’érant vià, la botse uverta, les parpìes bâs. Que drame!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