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343400" cy="5842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1909/10. Comba de Rima. De gotse a dreite: Victor Elisée Dayné, Introlen mort i temps de la Granta Guerra, Victorien Courthoud et son premier garçon Eraldo (1901-1956), Venance Auguste Bérard originero de Sarvaneire, Massimilien Charruaz que vegnave de Vieyes.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(prop. Sergio Courthoud)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186238" cy="278459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2784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Valnontey come l’ére i comcement di siéclo. Vua de nord,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atot a dreite Lou Tsentelet et derrier la tsena a di Grant-Paradis.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Palatino Linotype" w:cs="Palatino Linotype" w:eastAsia="Palatino Linotype" w:hAnsi="Palatino Linotype"/>
          <w:sz w:val="18"/>
          <w:szCs w:val="18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(1927, Auteur Alessio Nebbia, colechon Paolo Foretier)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</w:rPr>
        <w:drawing>
          <wp:inline distB="114300" distT="114300" distL="114300" distR="114300">
            <wp:extent cx="4148138" cy="27654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8138" cy="2765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Palatino Linotype" w:cs="Palatino Linotype" w:eastAsia="Palatino Linotype" w:hAnsi="Palatino Linotype"/>
          <w:i w:val="1"/>
          <w:iCs w:val="1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Todzor lo veladzo de Valnontey vu de sud, avouì a gotse (derrier Lou Tsentelet)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i w:val="1"/>
          <w:iCs w:val="1"/>
          <w:sz w:val="20"/>
          <w:szCs w:val="20"/>
          <w:rtl w:val="0"/>
        </w:rPr>
        <w:t xml:space="preserve">lo tsenail de Vijeusa et les mayens de Baben et de Reppià.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Palatino Linotype" w:cs="Palatino Linotype" w:eastAsia="Palatino Linotype" w:hAnsi="Palatino Linotype"/>
          <w:sz w:val="20"/>
          <w:szCs w:val="20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18"/>
          <w:szCs w:val="18"/>
          <w:rtl w:val="0"/>
        </w:rPr>
        <w:t xml:space="preserve">(1930, Auteur A. M. Pighetti, colechon Paolo Foretier)</w:t>
      </w:r>
      <w:r w:rsidDel="00000000" w:rsidR="00000000" w:rsidRPr="00000000">
        <w:rPr>
          <w:rFonts w:ascii="Palatino Linotype" w:cs="Palatino Linotype" w:eastAsia="Palatino Linotype" w:hAnsi="Palatino Linotype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  <w:cols w:equalWidth="0" w:num="2">
        <w:col w:space="720" w:w="6840"/>
        <w:col w:space="0" w:w="68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