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tota un’atra plèye, perqué entrant setembro, Batista l’est itâ comandâ per étre tramouâ... su en Cogne.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Dzenta complecachon dens cit an des grous tsandzements. Franc la veille de recoueillier la campagne, la desarpa a fére, les mitchos loyàs et djeusto bien dzousus. Peura, que fére?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«Pouis pâs me refuser» l’at deut Batista a una Sandrine que l’ayet les larmes is joueils et la grava de faleir queter Sarvaneire.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Premiere baga, toteun, faillet trouver un mitcho per rester et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David, garda en Cogne, l’ayet adrechà Batista a la fameille dis </w:t>
      </w:r>
      <w:r w:rsidDel="00000000" w:rsidR="00000000" w:rsidRPr="00000000">
        <w:rPr>
          <w:rFonts w:ascii="Palatino Linotype" w:cs="Palatino Linotype" w:eastAsia="Palatino Linotype" w:hAnsi="Palatino Linotype"/>
          <w:i w:val="1"/>
          <w:iCs w:val="1"/>
          <w:sz w:val="20"/>
          <w:szCs w:val="20"/>
          <w:rtl w:val="0"/>
        </w:rPr>
        <w:t xml:space="preserve">Diéze</w:t>
      </w:r>
      <w:r w:rsidDel="00000000" w:rsidR="00000000" w:rsidRPr="00000000">
        <w:rPr>
          <w:rFonts w:ascii="Palatino Linotype" w:cs="Palatino Linotype" w:eastAsia="Palatino Linotype" w:hAnsi="Palatino Linotype"/>
          <w:sz w:val="20"/>
          <w:szCs w:val="20"/>
          <w:rtl w:val="0"/>
        </w:rPr>
        <w:t xml:space="preserve">, a</w:t>
      </w:r>
      <w:r w:rsidDel="00000000" w:rsidR="00000000" w:rsidRPr="00000000">
        <w:rPr>
          <w:rFonts w:ascii="Palatino Linotype" w:cs="Palatino Linotype" w:eastAsia="Palatino Linotype" w:hAnsi="Palatino Linotype"/>
          <w:i w:val="1"/>
          <w:iCs w:val="1"/>
          <w:sz w:val="20"/>
          <w:szCs w:val="20"/>
          <w:rtl w:val="0"/>
        </w:rPr>
        <w:t xml:space="preserve"> Djan de Treuq</w:t>
      </w:r>
      <w:r w:rsidDel="00000000" w:rsidR="00000000" w:rsidRPr="00000000">
        <w:rPr>
          <w:rFonts w:ascii="Palatino Linotype" w:cs="Palatino Linotype" w:eastAsia="Palatino Linotype" w:hAnsi="Palatino Linotype"/>
          <w:sz w:val="20"/>
          <w:szCs w:val="20"/>
          <w:rtl w:val="0"/>
        </w:rPr>
        <w:t xml:space="preserve"> (Jean Truc) i numero 3 de la Metanére (lo chef-lieu) franc derrier la </w:t>
      </w:r>
      <w:r w:rsidDel="00000000" w:rsidR="00000000" w:rsidRPr="00000000">
        <w:rPr>
          <w:rFonts w:ascii="Palatino Linotype" w:cs="Palatino Linotype" w:eastAsia="Palatino Linotype" w:hAnsi="Palatino Linotype"/>
          <w:i w:val="1"/>
          <w:iCs w:val="1"/>
          <w:sz w:val="20"/>
          <w:szCs w:val="20"/>
          <w:rtl w:val="0"/>
        </w:rPr>
        <w:t xml:space="preserve">piasse de Djan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 l’at-pi acapâ (et feit la patse) un peillo atot un atro croé local dessus et an crota voutaye desot, yeu per la fin di meis l’at tramouâ totes les bagues de Sarvaneire et renovelâ etot l’assurance deis lo deleun premier otobro, dzor que lei faillet comenchier lo servicho.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sina place, en Sarvaneire, l’est alâ bâs de Cogne (et la reison di tsandzo nieun l’at compreisa-la) </w:t>
      </w:r>
      <w:r w:rsidDel="00000000" w:rsidR="00000000" w:rsidRPr="00000000">
        <w:rPr>
          <w:rFonts w:ascii="Palatino Linotype" w:cs="Palatino Linotype" w:eastAsia="Palatino Linotype" w:hAnsi="Palatino Linotype"/>
          <w:i w:val="1"/>
          <w:iCs w:val="1"/>
          <w:sz w:val="20"/>
          <w:szCs w:val="20"/>
          <w:rtl w:val="0"/>
        </w:rPr>
        <w:t xml:space="preserve">Djan</w:t>
      </w:r>
      <w:r w:rsidDel="00000000" w:rsidR="00000000" w:rsidRPr="00000000">
        <w:rPr>
          <w:rFonts w:ascii="Palatino Linotype" w:cs="Palatino Linotype" w:eastAsia="Palatino Linotype" w:hAnsi="Palatino Linotype"/>
          <w:sz w:val="20"/>
          <w:szCs w:val="20"/>
          <w:rtl w:val="0"/>
        </w:rPr>
        <w:t xml:space="preserve"> Carlin, Vassavaren de Rovenaud, dies ans depi que Batista, que l’ayet mariâ an Cognentse, l’ayet dous meinàs et restave tant bien su en Cogne. Granmerci a Batista, l’est-pi alâ rester dens lo memo mitcho yeu restave liu et que l’ayet loyà avouì lo viou Bérard.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belle sensa nieuna voya, l’at falu s’habituer a la via cognentse tot en escapent bâs en Sarvaneire per eidjier mama dens les derriers travails de l'outon.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l’at toteun dza pensâ a l’an apris, perqué en feyent servicho sovent su en Vanontey (les gardes l’ant todzor an tsambra su lé) l’at compreis que l’ére pi comodo aler franc lei rester.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moment, l’at loyà per l’an 1907 avouì Candide Gilliavod (</w:t>
      </w:r>
      <w:r w:rsidDel="00000000" w:rsidR="00000000" w:rsidRPr="00000000">
        <w:rPr>
          <w:rFonts w:ascii="Palatino Linotype" w:cs="Palatino Linotype" w:eastAsia="Palatino Linotype" w:hAnsi="Palatino Linotype"/>
          <w:i w:val="1"/>
          <w:iCs w:val="1"/>
          <w:sz w:val="20"/>
          <w:szCs w:val="20"/>
          <w:rtl w:val="0"/>
        </w:rPr>
        <w:t xml:space="preserve">Candide de Tchéne</w:t>
      </w:r>
      <w:r w:rsidDel="00000000" w:rsidR="00000000" w:rsidRPr="00000000">
        <w:rPr>
          <w:rFonts w:ascii="Palatino Linotype" w:cs="Palatino Linotype" w:eastAsia="Palatino Linotype" w:hAnsi="Palatino Linotype"/>
          <w:sz w:val="20"/>
          <w:szCs w:val="20"/>
          <w:rtl w:val="0"/>
        </w:rPr>
        <w:t xml:space="preserve">) renque des prâs et des tsamps lé alentor di veladzo; per lo mitcho l’est-pi a vére l’an que vint. Lo contrat per lo bien — de 81 livres per an — segnà coment temoens per lo garda Vital Jeantet et per lo serdzent Charles Vignale, l’est considerâ renovelâ se y est pâs an renonça formela de una dis daves parts, treis meis devant que la fin de l’an. </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Altro su Cogne non c'è nessun male a dire per il momento quando si sta in buona compagnia di salute e buon umore.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écrit Batista a Vitorien lo 30 novembro. Et l’at deut-lei etot, que apris couet lo pan et fenet de bouyier, se vegnave pâs bâs trop de nei a encombrer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tsemin, Sandrine sarie alaye su quaques dzors a Sent-Dzordo, paré l’arie preis les meseures et aprestâ lo patron per lo coteillon de Marceline et per un harbeillement per liu. Peratro tot vegnave remandâ a d’eforié.</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son couté Vitorien l’at renque repondu que lo petchout </w:t>
      </w:r>
      <w:r w:rsidDel="00000000" w:rsidR="00000000" w:rsidRPr="00000000">
        <w:rPr>
          <w:rFonts w:ascii="Palatino Linotype" w:cs="Palatino Linotype" w:eastAsia="Palatino Linotype" w:hAnsi="Palatino Linotype"/>
          <w:i w:val="1"/>
          <w:iCs w:val="1"/>
          <w:sz w:val="20"/>
          <w:szCs w:val="20"/>
          <w:rtl w:val="0"/>
        </w:rPr>
        <w:t xml:space="preserve">Nedjo</w:t>
      </w:r>
      <w:r w:rsidDel="00000000" w:rsidR="00000000" w:rsidRPr="00000000">
        <w:rPr>
          <w:rFonts w:ascii="Palatino Linotype" w:cs="Palatino Linotype" w:eastAsia="Palatino Linotype" w:hAnsi="Palatino Linotype"/>
          <w:sz w:val="20"/>
          <w:szCs w:val="20"/>
          <w:rtl w:val="0"/>
        </w:rPr>
        <w:t xml:space="preserve"> (Genesio), debilavant, l’ayet reuscâ de mouére, mis ara alave miou.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