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FC" w:rsidRDefault="00CF1D4A" w:rsidP="00D87FFC">
      <w:pPr>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MyTake</w:t>
      </w:r>
    </w:p>
    <w:p w:rsidR="00D87FFC" w:rsidRDefault="00D87FFC" w:rsidP="00D87FFC">
      <w:pPr>
        <w:jc w:val="center"/>
        <w:rPr>
          <w:rFonts w:ascii="Times New Roman" w:hAnsi="Times New Roman"/>
          <w:b/>
          <w:sz w:val="28"/>
          <w:szCs w:val="28"/>
          <w:u w:val="single"/>
        </w:rPr>
      </w:pPr>
      <w:r>
        <w:rPr>
          <w:rFonts w:ascii="Times New Roman" w:hAnsi="Times New Roman"/>
          <w:b/>
          <w:sz w:val="28"/>
          <w:szCs w:val="28"/>
          <w:u w:val="single"/>
        </w:rPr>
        <w:t>Form 1023 Narrative Detail</w:t>
      </w:r>
    </w:p>
    <w:p w:rsidR="00D87FFC" w:rsidRDefault="00D87FFC">
      <w:pPr>
        <w:rPr>
          <w:rFonts w:ascii="Times New Roman" w:hAnsi="Times New Roman"/>
          <w:b/>
          <w:sz w:val="24"/>
          <w:szCs w:val="24"/>
        </w:rPr>
      </w:pPr>
    </w:p>
    <w:p w:rsidR="00DE31EA" w:rsidRPr="00326A2B" w:rsidRDefault="0052043F">
      <w:pPr>
        <w:rPr>
          <w:rFonts w:ascii="Times New Roman" w:hAnsi="Times New Roman"/>
          <w:b/>
          <w:sz w:val="24"/>
          <w:szCs w:val="24"/>
        </w:rPr>
      </w:pPr>
      <w:r w:rsidRPr="00326A2B">
        <w:rPr>
          <w:rFonts w:ascii="Times New Roman" w:hAnsi="Times New Roman"/>
          <w:b/>
          <w:sz w:val="24"/>
          <w:szCs w:val="24"/>
        </w:rPr>
        <w:t>Part IV – Past, Present and Planned Activities</w:t>
      </w:r>
    </w:p>
    <w:p w:rsidR="0052043F" w:rsidRDefault="0052043F" w:rsidP="00CF1D4A">
      <w:pPr>
        <w:pStyle w:val="NormalWeb"/>
        <w:spacing w:line="240" w:lineRule="atLeast"/>
      </w:pPr>
      <w:r w:rsidRPr="00326A2B">
        <w:t xml:space="preserve">History, Mission and Vision:  </w:t>
      </w:r>
      <w:r w:rsidR="00CF1D4A">
        <w:t>MyTake</w:t>
      </w:r>
      <w:r w:rsidR="00720F56" w:rsidRPr="00326A2B">
        <w:t xml:space="preserve"> </w:t>
      </w:r>
      <w:r w:rsidR="00207DB2" w:rsidRPr="00326A2B">
        <w:t>formed in 201</w:t>
      </w:r>
      <w:r w:rsidR="00CF1D4A">
        <w:t>7</w:t>
      </w:r>
      <w:r w:rsidR="00207DB2" w:rsidRPr="00326A2B">
        <w:t xml:space="preserve"> when </w:t>
      </w:r>
      <w:r w:rsidR="00CF1D4A">
        <w:t>two colleagues collaborated</w:t>
      </w:r>
      <w:r w:rsidR="00207DB2" w:rsidRPr="00326A2B">
        <w:t xml:space="preserve"> </w:t>
      </w:r>
      <w:r w:rsidR="005D6FAF" w:rsidRPr="00326A2B">
        <w:t>to</w:t>
      </w:r>
      <w:r w:rsidR="00207DB2" w:rsidRPr="00326A2B">
        <w:t xml:space="preserve"> formally organize as a</w:t>
      </w:r>
      <w:r w:rsidR="00CF1D4A">
        <w:t>n</w:t>
      </w:r>
      <w:r w:rsidR="00207DB2" w:rsidRPr="00326A2B">
        <w:t xml:space="preserve"> initiative</w:t>
      </w:r>
      <w:r w:rsidR="005D6FAF" w:rsidRPr="00326A2B">
        <w:t xml:space="preserve"> intent on building a </w:t>
      </w:r>
      <w:r w:rsidR="00CF1D4A">
        <w:t>platform to enable sourced, fact-based dialogue</w:t>
      </w:r>
      <w:r w:rsidR="00207DB2" w:rsidRPr="00326A2B">
        <w:t xml:space="preserve">. </w:t>
      </w:r>
      <w:r w:rsidR="00CF1D4A">
        <w:t>Mytake</w:t>
      </w:r>
      <w:r w:rsidR="00207DB2" w:rsidRPr="00326A2B">
        <w:t xml:space="preserve"> </w:t>
      </w:r>
      <w:r w:rsidRPr="00326A2B">
        <w:t xml:space="preserve">envisions a </w:t>
      </w:r>
      <w:r w:rsidR="00CF1D4A">
        <w:t>community w</w:t>
      </w:r>
      <w:r w:rsidRPr="00326A2B">
        <w:t xml:space="preserve">here </w:t>
      </w:r>
      <w:r w:rsidR="00CF1D4A">
        <w:t xml:space="preserve">fact-based discussion and dialogue is available to all.  The initial focus is the United States political environment.  </w:t>
      </w:r>
    </w:p>
    <w:p w:rsidR="00CF1D4A" w:rsidRPr="00326A2B" w:rsidRDefault="00CF1D4A" w:rsidP="00CF1D4A">
      <w:pPr>
        <w:pStyle w:val="NormalWeb"/>
        <w:spacing w:line="240" w:lineRule="atLeast"/>
      </w:pPr>
    </w:p>
    <w:p w:rsidR="00634777" w:rsidRPr="00326A2B" w:rsidRDefault="004D4EAD" w:rsidP="00CF1D4A">
      <w:pPr>
        <w:pStyle w:val="NormalWeb"/>
        <w:spacing w:line="240" w:lineRule="atLeast"/>
      </w:pPr>
      <w:r w:rsidRPr="00326A2B">
        <w:t xml:space="preserve">Presently, </w:t>
      </w:r>
      <w:r w:rsidR="00CF1D4A">
        <w:t xml:space="preserve">MyTakes is building a prototype of the platform to do a proof-of-concept.  </w:t>
      </w:r>
    </w:p>
    <w:p w:rsidR="00CF1D4A" w:rsidRDefault="00CF1D4A" w:rsidP="00720F56">
      <w:pPr>
        <w:pStyle w:val="NormalWeb"/>
        <w:spacing w:line="240" w:lineRule="atLeast"/>
      </w:pPr>
    </w:p>
    <w:p w:rsidR="007E5B6B" w:rsidRDefault="00CF1D4A" w:rsidP="00720F56">
      <w:pPr>
        <w:pStyle w:val="NormalWeb"/>
        <w:spacing w:line="240" w:lineRule="atLeast"/>
      </w:pPr>
      <w:r>
        <w:t>In the future, a</w:t>
      </w:r>
      <w:r w:rsidR="00660F22" w:rsidRPr="00326A2B">
        <w:t xml:space="preserve"> Board of D</w:t>
      </w:r>
      <w:r w:rsidR="00634777" w:rsidRPr="00326A2B">
        <w:t xml:space="preserve">irectors </w:t>
      </w:r>
      <w:r>
        <w:t>will be</w:t>
      </w:r>
      <w:r w:rsidR="00634777" w:rsidRPr="00326A2B">
        <w:t xml:space="preserve"> named and an initial strategic plan is being developed which includes the action steps necessary to establish our </w:t>
      </w:r>
      <w:r>
        <w:t>prototype and</w:t>
      </w:r>
      <w:r w:rsidR="00634777" w:rsidRPr="00326A2B">
        <w:t xml:space="preserve"> raise the funds to </w:t>
      </w:r>
      <w:r>
        <w:t>build the full version once having addressed any issues from the POC</w:t>
      </w:r>
      <w:r w:rsidR="00F53EEA" w:rsidRPr="00326A2B">
        <w:t>.</w:t>
      </w:r>
    </w:p>
    <w:p w:rsidR="000A3479" w:rsidRPr="00326A2B" w:rsidRDefault="000A3479" w:rsidP="00720F56">
      <w:pPr>
        <w:pStyle w:val="NormalWeb"/>
        <w:spacing w:line="240" w:lineRule="atLeast"/>
      </w:pPr>
    </w:p>
    <w:p w:rsidR="00326A2B" w:rsidRDefault="00326A2B" w:rsidP="00720F56">
      <w:pPr>
        <w:pStyle w:val="NormalWeb"/>
        <w:spacing w:line="240" w:lineRule="atLeast"/>
        <w:rPr>
          <w:b/>
        </w:rPr>
      </w:pPr>
      <w:r>
        <w:rPr>
          <w:b/>
        </w:rPr>
        <w:t xml:space="preserve">Part V – Conflict of Interest Policy </w:t>
      </w:r>
      <w:r w:rsidR="00CF1D4A">
        <w:rPr>
          <w:b/>
        </w:rPr>
        <w:t xml:space="preserve">Drafted for adoption </w:t>
      </w:r>
      <w:r>
        <w:rPr>
          <w:b/>
        </w:rPr>
        <w:t xml:space="preserve">by the board of directors on </w:t>
      </w:r>
      <w:r w:rsidR="00CF1D4A">
        <w:rPr>
          <w:b/>
        </w:rPr>
        <w:t>XXX-XX-2017</w:t>
      </w:r>
    </w:p>
    <w:p w:rsidR="00326A2B" w:rsidRDefault="00326A2B" w:rsidP="00326A2B">
      <w:pPr>
        <w:pStyle w:val="NoSpacing"/>
        <w:jc w:val="center"/>
        <w:rPr>
          <w:rFonts w:ascii="Times New Roman" w:hAnsi="Times New Roman"/>
          <w:b/>
          <w:sz w:val="24"/>
          <w:szCs w:val="24"/>
        </w:rPr>
      </w:pPr>
      <w:r w:rsidRPr="00CA21AF">
        <w:rPr>
          <w:rFonts w:ascii="Times New Roman" w:hAnsi="Times New Roman"/>
          <w:b/>
          <w:sz w:val="24"/>
          <w:szCs w:val="24"/>
        </w:rPr>
        <w:t>ARTICLE 9</w:t>
      </w:r>
      <w:r>
        <w:rPr>
          <w:rFonts w:ascii="Times New Roman" w:hAnsi="Times New Roman"/>
          <w:b/>
          <w:sz w:val="24"/>
          <w:szCs w:val="24"/>
        </w:rPr>
        <w:t xml:space="preserve"> – CONFLICTS OF INTEREST - </w:t>
      </w:r>
      <w:r w:rsidRPr="00CA21AF">
        <w:rPr>
          <w:rFonts w:ascii="Times New Roman" w:hAnsi="Times New Roman"/>
          <w:b/>
          <w:sz w:val="24"/>
          <w:szCs w:val="24"/>
        </w:rPr>
        <w:t xml:space="preserve">CONTRACTING WITH </w:t>
      </w:r>
    </w:p>
    <w:p w:rsidR="00326A2B" w:rsidRPr="00CA21AF" w:rsidRDefault="00326A2B" w:rsidP="00326A2B">
      <w:pPr>
        <w:pStyle w:val="NoSpacing"/>
        <w:jc w:val="center"/>
        <w:rPr>
          <w:rFonts w:ascii="Times New Roman" w:hAnsi="Times New Roman"/>
          <w:b/>
          <w:sz w:val="24"/>
          <w:szCs w:val="24"/>
        </w:rPr>
      </w:pPr>
      <w:r w:rsidRPr="00CA21AF">
        <w:rPr>
          <w:rFonts w:ascii="Times New Roman" w:hAnsi="Times New Roman"/>
          <w:b/>
          <w:sz w:val="24"/>
          <w:szCs w:val="24"/>
        </w:rPr>
        <w:t>INTERESTED PARTIES</w:t>
      </w:r>
    </w:p>
    <w:p w:rsidR="00326A2B" w:rsidRPr="00CA21AF" w:rsidRDefault="00326A2B" w:rsidP="00326A2B">
      <w:pPr>
        <w:pStyle w:val="NoSpacing"/>
        <w:ind w:left="990"/>
        <w:rPr>
          <w:rFonts w:ascii="Times New Roman" w:hAnsi="Times New Roman"/>
          <w:b/>
          <w:sz w:val="24"/>
          <w:szCs w:val="24"/>
        </w:rPr>
      </w:pPr>
    </w:p>
    <w:p w:rsidR="00326A2B" w:rsidRPr="00326A2B" w:rsidRDefault="00326A2B" w:rsidP="00326A2B">
      <w:pPr>
        <w:pStyle w:val="NoSpacing"/>
        <w:rPr>
          <w:rFonts w:ascii="Times New Roman" w:hAnsi="Times New Roman"/>
          <w:b/>
          <w:i/>
          <w:sz w:val="24"/>
          <w:szCs w:val="24"/>
        </w:rPr>
      </w:pPr>
      <w:r w:rsidRPr="00326A2B">
        <w:rPr>
          <w:rFonts w:ascii="Times New Roman" w:hAnsi="Times New Roman"/>
          <w:i/>
          <w:sz w:val="24"/>
          <w:szCs w:val="24"/>
        </w:rPr>
        <w:t>Any and all of the directors, officers and management of the Corporation, or others as may be designated by the Board of Directors shall be “Interested Persons”.  It is the policy of the Corporation to hold all Interested Persons to strict standards of fiduciary responsibility, honesty and fair dealing in any transaction with or on behalf of the Corporation.  Interested Persons shall not, directly or indirectly, use their positions or knowledge gained there from to personally benefit unfairly from, or to cause any third party to benefit unfairly from, any dealings with the Corporation.  No Interested Person shall accept any favor, gratuity, or other consideration that might influence his or her actions affecting the Corporation or its clients.  All Interested Persons are expected to regulate their activities so as to avoid actual impropriety and/or the appearance of impropriety which might arise from the influence of those activities on business decisions of the Corporation or from disclosure or private use of the business affairs or plans of the Corporation.</w:t>
      </w:r>
    </w:p>
    <w:p w:rsidR="00326A2B" w:rsidRPr="00326A2B" w:rsidRDefault="00326A2B" w:rsidP="00326A2B">
      <w:pPr>
        <w:pStyle w:val="NoSpacing"/>
        <w:rPr>
          <w:rFonts w:ascii="Times New Roman" w:hAnsi="Times New Roman"/>
          <w:i/>
          <w:sz w:val="24"/>
          <w:szCs w:val="24"/>
        </w:rPr>
      </w:pPr>
    </w:p>
    <w:p w:rsidR="00326A2B" w:rsidRPr="00326A2B" w:rsidRDefault="00326A2B" w:rsidP="00326A2B">
      <w:pPr>
        <w:pStyle w:val="NoSpacing"/>
        <w:rPr>
          <w:rFonts w:ascii="Times New Roman" w:hAnsi="Times New Roman"/>
          <w:i/>
          <w:sz w:val="24"/>
          <w:szCs w:val="24"/>
        </w:rPr>
      </w:pPr>
    </w:p>
    <w:p w:rsidR="00326A2B" w:rsidRPr="00326A2B" w:rsidRDefault="00326A2B" w:rsidP="00326A2B">
      <w:pPr>
        <w:pStyle w:val="NoSpacing"/>
        <w:rPr>
          <w:rFonts w:ascii="Times New Roman" w:hAnsi="Times New Roman"/>
          <w:i/>
          <w:sz w:val="24"/>
          <w:szCs w:val="24"/>
        </w:rPr>
      </w:pPr>
      <w:r w:rsidRPr="00326A2B">
        <w:rPr>
          <w:rFonts w:ascii="Times New Roman" w:hAnsi="Times New Roman"/>
          <w:i/>
          <w:sz w:val="24"/>
          <w:szCs w:val="24"/>
        </w:rPr>
        <w:t xml:space="preserve">The </w:t>
      </w:r>
      <w:r w:rsidR="009C23A9" w:rsidRPr="00326A2B">
        <w:rPr>
          <w:rFonts w:ascii="Times New Roman" w:hAnsi="Times New Roman"/>
          <w:i/>
          <w:sz w:val="24"/>
          <w:szCs w:val="24"/>
        </w:rPr>
        <w:t>Corporation has</w:t>
      </w:r>
      <w:r w:rsidRPr="00326A2B">
        <w:rPr>
          <w:rFonts w:ascii="Times New Roman" w:hAnsi="Times New Roman"/>
          <w:i/>
          <w:sz w:val="24"/>
          <w:szCs w:val="24"/>
        </w:rPr>
        <w:t xml:space="preserve"> adopted the following Conflict of Interest Policy to address any actual or potential conflict of interest:</w:t>
      </w:r>
    </w:p>
    <w:p w:rsidR="00326A2B" w:rsidRPr="00326A2B" w:rsidRDefault="00326A2B" w:rsidP="00326A2B">
      <w:pPr>
        <w:pStyle w:val="NoSpacing"/>
        <w:rPr>
          <w:rFonts w:ascii="Times New Roman" w:hAnsi="Times New Roman"/>
          <w:i/>
          <w:sz w:val="24"/>
          <w:szCs w:val="24"/>
        </w:rPr>
      </w:pPr>
    </w:p>
    <w:p w:rsidR="00326A2B" w:rsidRPr="00326A2B" w:rsidRDefault="00326A2B" w:rsidP="00326A2B">
      <w:pPr>
        <w:ind w:right="1008"/>
        <w:rPr>
          <w:rFonts w:ascii="Times New Roman" w:hAnsi="Times New Roman"/>
          <w:b/>
          <w:i/>
        </w:rPr>
      </w:pPr>
      <w:r w:rsidRPr="00326A2B">
        <w:rPr>
          <w:rFonts w:ascii="Times New Roman" w:hAnsi="Times New Roman"/>
          <w:b/>
          <w:i/>
          <w:u w:val="single"/>
        </w:rPr>
        <w:t>PURPOSE</w:t>
      </w:r>
    </w:p>
    <w:p w:rsidR="00326A2B" w:rsidRPr="00326A2B" w:rsidRDefault="00326A2B" w:rsidP="00326A2B">
      <w:pPr>
        <w:ind w:right="1008"/>
        <w:rPr>
          <w:rFonts w:ascii="Times New Roman" w:hAnsi="Times New Roman"/>
          <w:i/>
        </w:rPr>
      </w:pPr>
      <w:r w:rsidRPr="00326A2B">
        <w:rPr>
          <w:rFonts w:ascii="Times New Roman" w:hAnsi="Times New Roman"/>
          <w:i/>
        </w:rPr>
        <w:t xml:space="preserve">This policy is intended to supplement but not replace any applicable state and federal laws governing conflict of interest applicable to nonprofit and charitable organizations.  It is intended to provide a governing </w:t>
      </w:r>
      <w:r w:rsidR="009C23A9" w:rsidRPr="00326A2B">
        <w:rPr>
          <w:rFonts w:ascii="Times New Roman" w:hAnsi="Times New Roman"/>
          <w:i/>
        </w:rPr>
        <w:t>document:</w:t>
      </w:r>
    </w:p>
    <w:p w:rsidR="00326A2B" w:rsidRPr="00326A2B" w:rsidRDefault="00326A2B" w:rsidP="00326A2B">
      <w:pPr>
        <w:pStyle w:val="ListParagraph"/>
        <w:numPr>
          <w:ilvl w:val="0"/>
          <w:numId w:val="6"/>
        </w:numPr>
        <w:spacing w:after="0"/>
        <w:ind w:right="1008"/>
        <w:rPr>
          <w:rFonts w:ascii="Times New Roman" w:hAnsi="Times New Roman"/>
          <w:i/>
        </w:rPr>
      </w:pPr>
      <w:r w:rsidRPr="00326A2B">
        <w:rPr>
          <w:rFonts w:ascii="Times New Roman" w:hAnsi="Times New Roman"/>
          <w:i/>
        </w:rPr>
        <w:lastRenderedPageBreak/>
        <w:t xml:space="preserve">To assure that all Covered Persons exercise the utmost good faith and loyalty to </w:t>
      </w:r>
      <w:r w:rsidR="00CF1D4A">
        <w:rPr>
          <w:rFonts w:ascii="Times New Roman" w:hAnsi="Times New Roman"/>
          <w:i/>
        </w:rPr>
        <w:t>MyTakes</w:t>
      </w:r>
      <w:r w:rsidRPr="00326A2B">
        <w:rPr>
          <w:rFonts w:ascii="Times New Roman" w:hAnsi="Times New Roman"/>
          <w:i/>
        </w:rPr>
        <w:t xml:space="preserve"> Initiative (the Corporation) in all transactions touching upon their duties to THE CORPORATION, its property, and its clients.  </w:t>
      </w:r>
    </w:p>
    <w:p w:rsidR="00326A2B" w:rsidRPr="00326A2B" w:rsidRDefault="00326A2B" w:rsidP="00326A2B">
      <w:pPr>
        <w:pStyle w:val="ListParagraph"/>
        <w:numPr>
          <w:ilvl w:val="0"/>
          <w:numId w:val="6"/>
        </w:numPr>
        <w:spacing w:after="0"/>
        <w:ind w:right="1008"/>
        <w:rPr>
          <w:rFonts w:ascii="Arial" w:hAnsi="Arial"/>
          <w:i/>
        </w:rPr>
      </w:pPr>
      <w:r w:rsidRPr="00326A2B">
        <w:rPr>
          <w:rFonts w:ascii="Times New Roman" w:hAnsi="Times New Roman"/>
          <w:i/>
        </w:rPr>
        <w:t>To protect the interests of THE CORPORATION when it is contemplating entering into a transaction or arrangement that might benefit the private interest of a Covered Person or might result in a possible excess benefit transaction.</w:t>
      </w:r>
    </w:p>
    <w:p w:rsidR="00326A2B" w:rsidRPr="00326A2B" w:rsidRDefault="00326A2B" w:rsidP="00326A2B">
      <w:pPr>
        <w:pStyle w:val="ListParagraph"/>
        <w:numPr>
          <w:ilvl w:val="0"/>
          <w:numId w:val="6"/>
        </w:numPr>
        <w:spacing w:after="0"/>
        <w:ind w:right="1008"/>
        <w:rPr>
          <w:rFonts w:ascii="Times New Roman" w:hAnsi="Times New Roman"/>
          <w:i/>
        </w:rPr>
      </w:pPr>
      <w:r w:rsidRPr="00326A2B">
        <w:rPr>
          <w:rFonts w:ascii="Times New Roman" w:hAnsi="Times New Roman"/>
          <w:i/>
        </w:rPr>
        <w:t xml:space="preserve">To set forth the conditions for participation by Covered </w:t>
      </w:r>
      <w:r w:rsidR="009C23A9" w:rsidRPr="00326A2B">
        <w:rPr>
          <w:rFonts w:ascii="Times New Roman" w:hAnsi="Times New Roman"/>
          <w:i/>
        </w:rPr>
        <w:t>Persons whose</w:t>
      </w:r>
      <w:r w:rsidRPr="00326A2B">
        <w:rPr>
          <w:rFonts w:ascii="Times New Roman" w:hAnsi="Times New Roman"/>
          <w:i/>
        </w:rPr>
        <w:t xml:space="preserve"> service to THE CORPORATION may provide benefit to THE CORPORATION because of his/her business and professional expertise.</w:t>
      </w:r>
    </w:p>
    <w:p w:rsidR="00326A2B" w:rsidRPr="00326A2B" w:rsidRDefault="00326A2B" w:rsidP="00326A2B">
      <w:pPr>
        <w:ind w:right="1008"/>
        <w:rPr>
          <w:rFonts w:ascii="Times New Roman" w:hAnsi="Times New Roman"/>
          <w:i/>
        </w:rPr>
      </w:pPr>
    </w:p>
    <w:p w:rsidR="00326A2B" w:rsidRPr="00326A2B" w:rsidRDefault="00326A2B" w:rsidP="00326A2B">
      <w:pPr>
        <w:ind w:right="1008"/>
        <w:rPr>
          <w:rFonts w:ascii="Times New Roman" w:hAnsi="Times New Roman"/>
          <w:b/>
          <w:i/>
        </w:rPr>
      </w:pPr>
      <w:r w:rsidRPr="00326A2B">
        <w:rPr>
          <w:rFonts w:ascii="Times New Roman" w:hAnsi="Times New Roman"/>
          <w:b/>
          <w:i/>
          <w:u w:val="single"/>
        </w:rPr>
        <w:t>APPLICABILITY</w:t>
      </w:r>
    </w:p>
    <w:p w:rsidR="00326A2B" w:rsidRPr="00326A2B" w:rsidRDefault="00326A2B" w:rsidP="00326A2B">
      <w:pPr>
        <w:ind w:right="1008"/>
        <w:rPr>
          <w:rFonts w:ascii="Times New Roman" w:hAnsi="Times New Roman"/>
          <w:i/>
        </w:rPr>
      </w:pPr>
      <w:r w:rsidRPr="00326A2B">
        <w:rPr>
          <w:rFonts w:ascii="Times New Roman" w:hAnsi="Times New Roman"/>
          <w:i/>
        </w:rPr>
        <w:t xml:space="preserve">This policy applies to all directors, officers, employees, committee members, and volunteers of THE CORPORATION and its subsidiaries </w:t>
      </w:r>
    </w:p>
    <w:p w:rsidR="00326A2B" w:rsidRPr="00326A2B" w:rsidRDefault="00326A2B" w:rsidP="00326A2B">
      <w:pPr>
        <w:ind w:left="620" w:right="1008"/>
        <w:rPr>
          <w:rFonts w:ascii="Times New Roman" w:hAnsi="Times New Roman"/>
          <w:i/>
        </w:rPr>
      </w:pPr>
    </w:p>
    <w:p w:rsidR="00326A2B" w:rsidRPr="00326A2B" w:rsidRDefault="00326A2B" w:rsidP="00326A2B">
      <w:pPr>
        <w:ind w:right="1008"/>
        <w:rPr>
          <w:rFonts w:ascii="Times New Roman" w:hAnsi="Times New Roman"/>
          <w:b/>
          <w:i/>
        </w:rPr>
      </w:pPr>
      <w:r w:rsidRPr="00326A2B">
        <w:rPr>
          <w:rFonts w:ascii="Times New Roman" w:hAnsi="Times New Roman"/>
          <w:b/>
          <w:i/>
          <w:u w:val="single"/>
        </w:rPr>
        <w:t>POLICY</w:t>
      </w:r>
    </w:p>
    <w:p w:rsidR="00326A2B" w:rsidRPr="00326A2B" w:rsidRDefault="00326A2B" w:rsidP="00326A2B">
      <w:pPr>
        <w:ind w:right="1008"/>
        <w:rPr>
          <w:rFonts w:ascii="Times New Roman" w:hAnsi="Times New Roman"/>
          <w:i/>
        </w:rPr>
      </w:pPr>
      <w:r w:rsidRPr="00326A2B">
        <w:rPr>
          <w:rFonts w:ascii="Times New Roman" w:hAnsi="Times New Roman"/>
          <w:i/>
        </w:rPr>
        <w:t xml:space="preserve">It is the policy of THE CORPORATION to hold all Covered Persons to strict standards of fiduciary responsibility, honesty, and fair dealing in any transaction with or on behalf of THE CORPORATION.  Covered Persons shall not, directly or indirectly, use their positions or knowledge gained there from to personally benefit unfairly from, or to cause any third party to benefit unfairly from, any dealings with THE CORPORATION. No Covered Person shall accept any favor, gratuity, or other consideration that might influence his or her actions affecting THE CORPORATION or its clients.  </w:t>
      </w:r>
    </w:p>
    <w:p w:rsidR="00326A2B" w:rsidRPr="00326A2B" w:rsidRDefault="00326A2B" w:rsidP="00326A2B">
      <w:pPr>
        <w:ind w:right="1008"/>
        <w:rPr>
          <w:rFonts w:ascii="Times New Roman" w:hAnsi="Times New Roman"/>
          <w:i/>
        </w:rPr>
      </w:pPr>
      <w:r w:rsidRPr="00326A2B">
        <w:rPr>
          <w:rFonts w:ascii="Times New Roman" w:hAnsi="Times New Roman"/>
          <w:i/>
        </w:rPr>
        <w:t>All Covered Persons are expected to regulate their activities so as to avoid actual impropriety and/or the appearance of impropriety which might arise from the influence of those activities on business decisions of THE CORPORATION or from disclosure or private use of the business affairs or plans of THE CORPORATION</w:t>
      </w:r>
    </w:p>
    <w:p w:rsidR="00326A2B" w:rsidRPr="00326A2B" w:rsidRDefault="00326A2B" w:rsidP="00326A2B">
      <w:pPr>
        <w:ind w:right="1008"/>
        <w:rPr>
          <w:rFonts w:ascii="Times New Roman" w:hAnsi="Times New Roman"/>
          <w:b/>
          <w:i/>
          <w:u w:val="single"/>
        </w:rPr>
      </w:pPr>
      <w:r w:rsidRPr="00326A2B">
        <w:rPr>
          <w:rFonts w:ascii="Times New Roman" w:hAnsi="Times New Roman"/>
          <w:b/>
          <w:i/>
          <w:u w:val="single"/>
        </w:rPr>
        <w:t>DEFINITIONS</w:t>
      </w:r>
    </w:p>
    <w:p w:rsidR="00326A2B" w:rsidRPr="00326A2B" w:rsidRDefault="00326A2B" w:rsidP="00326A2B">
      <w:pPr>
        <w:ind w:left="765" w:right="1008"/>
        <w:rPr>
          <w:rFonts w:ascii="Times New Roman" w:hAnsi="Times New Roman"/>
          <w:i/>
        </w:rPr>
      </w:pPr>
      <w:r w:rsidRPr="00326A2B">
        <w:rPr>
          <w:rFonts w:ascii="Times New Roman" w:hAnsi="Times New Roman"/>
          <w:i/>
          <w:u w:val="single"/>
        </w:rPr>
        <w:t>Compensation</w:t>
      </w:r>
      <w:r w:rsidRPr="00326A2B">
        <w:rPr>
          <w:rFonts w:ascii="Times New Roman" w:hAnsi="Times New Roman"/>
          <w:i/>
        </w:rPr>
        <w:t>:  Includes direct and indirect remuneration as well as gifts or favors that are not insubstantial.</w:t>
      </w:r>
    </w:p>
    <w:p w:rsidR="00326A2B" w:rsidRPr="00326A2B" w:rsidRDefault="00326A2B" w:rsidP="00326A2B">
      <w:pPr>
        <w:ind w:left="720" w:right="1008"/>
        <w:rPr>
          <w:rFonts w:ascii="Times New Roman" w:hAnsi="Times New Roman"/>
          <w:i/>
        </w:rPr>
      </w:pPr>
      <w:r w:rsidRPr="00326A2B">
        <w:rPr>
          <w:rFonts w:ascii="Times New Roman" w:hAnsi="Times New Roman"/>
          <w:i/>
          <w:u w:val="single"/>
        </w:rPr>
        <w:t>Conflict of Interest:</w:t>
      </w:r>
      <w:r w:rsidRPr="00326A2B">
        <w:rPr>
          <w:rFonts w:ascii="Times New Roman" w:hAnsi="Times New Roman"/>
          <w:i/>
        </w:rPr>
        <w:t xml:space="preserve">  A conflict, or the appearance of a conflict, between the private interests and official responsibilities of a person in a position of trust.</w:t>
      </w:r>
    </w:p>
    <w:p w:rsidR="00326A2B" w:rsidRPr="00326A2B" w:rsidRDefault="00326A2B" w:rsidP="00326A2B">
      <w:pPr>
        <w:ind w:left="720" w:right="1008"/>
        <w:rPr>
          <w:rFonts w:ascii="Times New Roman" w:hAnsi="Times New Roman"/>
          <w:i/>
        </w:rPr>
      </w:pPr>
      <w:r w:rsidRPr="00326A2B">
        <w:rPr>
          <w:rFonts w:ascii="Times New Roman" w:hAnsi="Times New Roman"/>
          <w:i/>
          <w:u w:val="single"/>
        </w:rPr>
        <w:t>Covered Person</w:t>
      </w:r>
      <w:r w:rsidRPr="00326A2B">
        <w:rPr>
          <w:rFonts w:ascii="Times New Roman" w:hAnsi="Times New Roman"/>
          <w:i/>
        </w:rPr>
        <w:t>: Any director, officer, employee, committee member, or volunteer of THE CORPORATION or its subsidiaries.</w:t>
      </w:r>
    </w:p>
    <w:p w:rsidR="00326A2B" w:rsidRPr="00326A2B" w:rsidRDefault="00326A2B" w:rsidP="00326A2B">
      <w:pPr>
        <w:ind w:left="720" w:right="1008"/>
        <w:rPr>
          <w:rFonts w:ascii="Times New Roman" w:hAnsi="Times New Roman"/>
          <w:i/>
        </w:rPr>
      </w:pPr>
      <w:r w:rsidRPr="00326A2B">
        <w:rPr>
          <w:rFonts w:ascii="Times New Roman" w:hAnsi="Times New Roman"/>
          <w:i/>
          <w:u w:val="single"/>
        </w:rPr>
        <w:t>Financial Interest</w:t>
      </w:r>
      <w:r w:rsidRPr="00326A2B">
        <w:rPr>
          <w:rFonts w:ascii="Times New Roman" w:hAnsi="Times New Roman"/>
          <w:i/>
        </w:rPr>
        <w:t xml:space="preserve">:  A person has a financial interest if the person has, directly or indirectly, through business, investment, or family: </w:t>
      </w:r>
    </w:p>
    <w:p w:rsidR="00326A2B" w:rsidRPr="00326A2B" w:rsidRDefault="00326A2B" w:rsidP="00326A2B">
      <w:pPr>
        <w:numPr>
          <w:ilvl w:val="0"/>
          <w:numId w:val="3"/>
        </w:numPr>
        <w:spacing w:after="0" w:line="240" w:lineRule="auto"/>
        <w:ind w:right="1008"/>
        <w:rPr>
          <w:rFonts w:ascii="Times New Roman" w:hAnsi="Times New Roman"/>
          <w:i/>
        </w:rPr>
      </w:pPr>
      <w:r w:rsidRPr="00326A2B">
        <w:rPr>
          <w:rFonts w:ascii="Times New Roman" w:hAnsi="Times New Roman"/>
          <w:i/>
        </w:rPr>
        <w:t>An ownership or investment interest in any entity with which THE CORPORATION has a transaction or arrangement, or</w:t>
      </w:r>
    </w:p>
    <w:p w:rsidR="00326A2B" w:rsidRPr="00326A2B" w:rsidRDefault="00326A2B" w:rsidP="00326A2B">
      <w:pPr>
        <w:numPr>
          <w:ilvl w:val="0"/>
          <w:numId w:val="3"/>
        </w:numPr>
        <w:spacing w:after="0" w:line="240" w:lineRule="auto"/>
        <w:ind w:right="1008"/>
        <w:rPr>
          <w:rFonts w:ascii="Times New Roman" w:hAnsi="Times New Roman"/>
          <w:i/>
        </w:rPr>
      </w:pPr>
      <w:r w:rsidRPr="00326A2B">
        <w:rPr>
          <w:rFonts w:ascii="Times New Roman" w:hAnsi="Times New Roman"/>
          <w:i/>
        </w:rPr>
        <w:lastRenderedPageBreak/>
        <w:t>A compensation arrangement with THE CORPORATION or with any entity or individual with which THE CORPORATION has a transaction or arrangement, or</w:t>
      </w:r>
    </w:p>
    <w:p w:rsidR="00326A2B" w:rsidRPr="00326A2B" w:rsidRDefault="00326A2B" w:rsidP="00326A2B">
      <w:pPr>
        <w:numPr>
          <w:ilvl w:val="0"/>
          <w:numId w:val="3"/>
        </w:numPr>
        <w:spacing w:after="0" w:line="240" w:lineRule="auto"/>
        <w:ind w:right="1008"/>
        <w:rPr>
          <w:rFonts w:ascii="Times New Roman" w:hAnsi="Times New Roman"/>
          <w:i/>
        </w:rPr>
      </w:pPr>
      <w:r w:rsidRPr="00326A2B">
        <w:rPr>
          <w:rFonts w:ascii="Times New Roman" w:hAnsi="Times New Roman"/>
          <w:i/>
        </w:rPr>
        <w:t>A potential ownership or investment interest in, or compensation arrangement with, any entity or individual with which THE CORPORATION is negotiating a transaction or arrangement.</w:t>
      </w:r>
    </w:p>
    <w:p w:rsidR="00326A2B" w:rsidRPr="00326A2B" w:rsidRDefault="00326A2B" w:rsidP="00326A2B">
      <w:pPr>
        <w:ind w:left="720" w:right="1008"/>
        <w:rPr>
          <w:rFonts w:ascii="Times New Roman" w:hAnsi="Times New Roman"/>
          <w:i/>
        </w:rPr>
      </w:pPr>
    </w:p>
    <w:p w:rsidR="00326A2B" w:rsidRPr="00326A2B" w:rsidRDefault="00326A2B" w:rsidP="00326A2B">
      <w:pPr>
        <w:ind w:left="720" w:right="1008"/>
        <w:rPr>
          <w:rFonts w:ascii="Times New Roman" w:hAnsi="Times New Roman"/>
          <w:i/>
        </w:rPr>
      </w:pPr>
      <w:r w:rsidRPr="00326A2B">
        <w:rPr>
          <w:rFonts w:ascii="Times New Roman" w:hAnsi="Times New Roman"/>
          <w:i/>
          <w:u w:val="single"/>
        </w:rPr>
        <w:t>Interested Person</w:t>
      </w:r>
      <w:r w:rsidRPr="00326A2B">
        <w:rPr>
          <w:rFonts w:ascii="Times New Roman" w:hAnsi="Times New Roman"/>
          <w:i/>
        </w:rPr>
        <w:t>:  An Interested Person is any Covered Person who has a direct or indirect Financial Interest.</w:t>
      </w:r>
    </w:p>
    <w:p w:rsidR="00326A2B" w:rsidRPr="00326A2B" w:rsidRDefault="00326A2B" w:rsidP="00326A2B">
      <w:pPr>
        <w:ind w:left="765" w:right="1008"/>
        <w:rPr>
          <w:rFonts w:ascii="Times New Roman" w:hAnsi="Times New Roman"/>
          <w:i/>
        </w:rPr>
      </w:pPr>
    </w:p>
    <w:p w:rsidR="00326A2B" w:rsidRPr="00326A2B" w:rsidRDefault="00326A2B" w:rsidP="00326A2B">
      <w:pPr>
        <w:ind w:right="1008"/>
        <w:rPr>
          <w:rFonts w:ascii="Times New Roman" w:hAnsi="Times New Roman"/>
          <w:b/>
          <w:i/>
          <w:u w:val="single"/>
        </w:rPr>
      </w:pPr>
      <w:r w:rsidRPr="00326A2B">
        <w:rPr>
          <w:rFonts w:ascii="Times New Roman" w:hAnsi="Times New Roman"/>
          <w:b/>
          <w:i/>
          <w:u w:val="single"/>
        </w:rPr>
        <w:t>RESPONSIBILITY</w:t>
      </w:r>
    </w:p>
    <w:p w:rsidR="00326A2B" w:rsidRPr="00326A2B" w:rsidRDefault="00326A2B" w:rsidP="00326A2B">
      <w:pPr>
        <w:ind w:right="1008"/>
        <w:rPr>
          <w:rFonts w:ascii="Times New Roman" w:hAnsi="Times New Roman"/>
          <w:i/>
          <w:u w:val="single"/>
        </w:rPr>
      </w:pPr>
      <w:r w:rsidRPr="00326A2B">
        <w:rPr>
          <w:rFonts w:ascii="Times New Roman" w:hAnsi="Times New Roman"/>
          <w:i/>
          <w:u w:val="single"/>
        </w:rPr>
        <w:t>Responsibility for Compliance</w:t>
      </w:r>
    </w:p>
    <w:p w:rsidR="00326A2B" w:rsidRPr="00326A2B" w:rsidRDefault="00326A2B" w:rsidP="00326A2B">
      <w:pPr>
        <w:ind w:right="1008"/>
        <w:rPr>
          <w:rFonts w:ascii="Times New Roman" w:hAnsi="Times New Roman"/>
          <w:i/>
        </w:rPr>
      </w:pPr>
      <w:r w:rsidRPr="00326A2B">
        <w:rPr>
          <w:rFonts w:ascii="Times New Roman" w:hAnsi="Times New Roman"/>
          <w:i/>
        </w:rPr>
        <w:t xml:space="preserve">The CORPORATION board of directors has designated the Treasurer as the Chief Compliance Officer responsible for implementation and administration of the Compliance Program.   </w:t>
      </w:r>
      <w:r w:rsidR="009C23A9" w:rsidRPr="00326A2B">
        <w:rPr>
          <w:rFonts w:ascii="Times New Roman" w:hAnsi="Times New Roman"/>
          <w:i/>
        </w:rPr>
        <w:t>The CORPORATION</w:t>
      </w:r>
      <w:r w:rsidRPr="00326A2B">
        <w:rPr>
          <w:rFonts w:ascii="Times New Roman" w:hAnsi="Times New Roman"/>
          <w:i/>
        </w:rPr>
        <w:t xml:space="preserve"> board of directors shall be responsible for administering this Conflict of Interest policy as it relates to its own members.</w:t>
      </w:r>
    </w:p>
    <w:p w:rsidR="00326A2B" w:rsidRPr="00326A2B" w:rsidRDefault="00326A2B" w:rsidP="00326A2B">
      <w:pPr>
        <w:ind w:left="1440" w:right="1008"/>
        <w:rPr>
          <w:rFonts w:ascii="Times New Roman" w:hAnsi="Times New Roman"/>
          <w:i/>
        </w:rPr>
      </w:pPr>
      <w:r w:rsidRPr="00326A2B">
        <w:rPr>
          <w:rFonts w:ascii="Times New Roman" w:hAnsi="Times New Roman"/>
          <w:i/>
        </w:rPr>
        <w:t xml:space="preserve"> </w:t>
      </w:r>
      <w:r w:rsidRPr="00326A2B">
        <w:rPr>
          <w:rFonts w:ascii="Times New Roman" w:hAnsi="Times New Roman"/>
          <w:i/>
        </w:rPr>
        <w:tab/>
      </w:r>
    </w:p>
    <w:p w:rsidR="00326A2B" w:rsidRPr="00326A2B" w:rsidRDefault="00326A2B" w:rsidP="00326A2B">
      <w:pPr>
        <w:ind w:right="1008"/>
        <w:rPr>
          <w:rFonts w:ascii="Times New Roman" w:hAnsi="Times New Roman"/>
          <w:i/>
        </w:rPr>
      </w:pPr>
      <w:r w:rsidRPr="00326A2B">
        <w:rPr>
          <w:rFonts w:ascii="Times New Roman" w:hAnsi="Times New Roman"/>
          <w:i/>
          <w:u w:val="single"/>
        </w:rPr>
        <w:t xml:space="preserve">Responsibilities of Covered Persons </w:t>
      </w:r>
    </w:p>
    <w:p w:rsidR="00326A2B" w:rsidRPr="00326A2B" w:rsidRDefault="00326A2B" w:rsidP="00326A2B">
      <w:pPr>
        <w:ind w:right="1008"/>
        <w:rPr>
          <w:rFonts w:ascii="Times New Roman" w:hAnsi="Times New Roman"/>
          <w:i/>
          <w:u w:val="single"/>
        </w:rPr>
      </w:pPr>
    </w:p>
    <w:p w:rsidR="00326A2B" w:rsidRPr="00326A2B" w:rsidRDefault="00326A2B" w:rsidP="00326A2B">
      <w:pPr>
        <w:ind w:right="1008"/>
        <w:rPr>
          <w:rFonts w:ascii="Times New Roman" w:hAnsi="Times New Roman"/>
          <w:i/>
        </w:rPr>
      </w:pPr>
      <w:r w:rsidRPr="00326A2B">
        <w:rPr>
          <w:rFonts w:ascii="Times New Roman" w:hAnsi="Times New Roman"/>
          <w:i/>
        </w:rPr>
        <w:t xml:space="preserve"> </w:t>
      </w:r>
      <w:r w:rsidRPr="00326A2B">
        <w:rPr>
          <w:rFonts w:ascii="Times New Roman" w:hAnsi="Times New Roman"/>
          <w:i/>
          <w:u w:val="single"/>
        </w:rPr>
        <w:t>Duty to Disclose</w:t>
      </w:r>
      <w:r w:rsidRPr="00326A2B">
        <w:rPr>
          <w:rFonts w:ascii="Times New Roman" w:hAnsi="Times New Roman"/>
          <w:i/>
        </w:rPr>
        <w:t>.  A Covered Person, whether because of his/her employment, business interests, investments, or otherwise, who has interests that do or may, directly or indirectly, compete with or be in conflict with the interests of THE CORPORATION shall promptly disclose all material facts of such conflict of interest in writing to the Chairperson of the Board of Directors and/or to the Executive Director of THE CORPORATION.  Such person shall also announce the same at any meeting or discussion in which he/she is a participant and at which such conflict arises and shall refrain from acting thereon.</w:t>
      </w:r>
    </w:p>
    <w:p w:rsidR="00326A2B" w:rsidRPr="00326A2B" w:rsidRDefault="00326A2B" w:rsidP="00326A2B">
      <w:pPr>
        <w:rPr>
          <w:rFonts w:ascii="Palatino" w:hAnsi="Palatino"/>
          <w:i/>
        </w:rPr>
      </w:pPr>
      <w:r w:rsidRPr="00326A2B">
        <w:rPr>
          <w:rFonts w:ascii="Palatino" w:hAnsi="Palatino"/>
          <w:i/>
          <w:u w:val="single"/>
        </w:rPr>
        <w:t>Annual Statements</w:t>
      </w:r>
      <w:r w:rsidRPr="00326A2B">
        <w:rPr>
          <w:rFonts w:ascii="Palatino" w:hAnsi="Palatino"/>
          <w:i/>
        </w:rPr>
        <w:t>. Each director, principal officer and member of a committee with governing board delegated powers shall annually sign a statement which affirms such person:</w:t>
      </w:r>
    </w:p>
    <w:p w:rsidR="00326A2B" w:rsidRPr="00326A2B" w:rsidRDefault="00326A2B" w:rsidP="00326A2B">
      <w:pPr>
        <w:numPr>
          <w:ilvl w:val="0"/>
          <w:numId w:val="4"/>
        </w:numPr>
        <w:spacing w:after="0" w:line="240" w:lineRule="auto"/>
        <w:rPr>
          <w:rFonts w:ascii="Palatino" w:hAnsi="Palatino"/>
          <w:i/>
        </w:rPr>
      </w:pPr>
      <w:r w:rsidRPr="00326A2B">
        <w:rPr>
          <w:rFonts w:ascii="Palatino" w:hAnsi="Palatino"/>
          <w:i/>
        </w:rPr>
        <w:t>Has received a copy of this Conflict of Interest policy,</w:t>
      </w:r>
    </w:p>
    <w:p w:rsidR="00326A2B" w:rsidRPr="00326A2B" w:rsidRDefault="00326A2B" w:rsidP="00326A2B">
      <w:pPr>
        <w:numPr>
          <w:ilvl w:val="0"/>
          <w:numId w:val="4"/>
        </w:numPr>
        <w:spacing w:after="0" w:line="240" w:lineRule="auto"/>
        <w:rPr>
          <w:rFonts w:ascii="Palatino" w:hAnsi="Palatino"/>
          <w:i/>
        </w:rPr>
      </w:pPr>
      <w:r w:rsidRPr="00326A2B">
        <w:rPr>
          <w:rFonts w:ascii="Palatino" w:hAnsi="Palatino"/>
          <w:i/>
        </w:rPr>
        <w:t>Has read and understands the policy,</w:t>
      </w:r>
    </w:p>
    <w:p w:rsidR="00326A2B" w:rsidRPr="00326A2B" w:rsidRDefault="00326A2B" w:rsidP="00326A2B">
      <w:pPr>
        <w:numPr>
          <w:ilvl w:val="0"/>
          <w:numId w:val="4"/>
        </w:numPr>
        <w:spacing w:after="0" w:line="240" w:lineRule="auto"/>
        <w:rPr>
          <w:rFonts w:ascii="Palatino" w:hAnsi="Palatino"/>
          <w:i/>
        </w:rPr>
      </w:pPr>
      <w:r w:rsidRPr="00326A2B">
        <w:rPr>
          <w:rFonts w:ascii="Palatino" w:hAnsi="Palatino"/>
          <w:i/>
        </w:rPr>
        <w:t>Has agreed to comply with the policy, and</w:t>
      </w:r>
    </w:p>
    <w:p w:rsidR="00326A2B" w:rsidRPr="00326A2B" w:rsidRDefault="00326A2B" w:rsidP="00326A2B">
      <w:pPr>
        <w:numPr>
          <w:ilvl w:val="0"/>
          <w:numId w:val="4"/>
        </w:numPr>
        <w:spacing w:after="0" w:line="240" w:lineRule="auto"/>
        <w:rPr>
          <w:rFonts w:ascii="Palatino" w:hAnsi="Palatino"/>
          <w:i/>
        </w:rPr>
      </w:pPr>
      <w:r w:rsidRPr="00326A2B">
        <w:rPr>
          <w:rFonts w:ascii="Palatino" w:hAnsi="Palatino"/>
          <w:i/>
        </w:rPr>
        <w:t>Understands that THE CORPORATION is charitable and in order to maintain its federal tax exemption it must engage primarily in activities which accomplish one or more of its tax-exempt purposes.</w:t>
      </w:r>
    </w:p>
    <w:p w:rsidR="00326A2B" w:rsidRPr="00326A2B" w:rsidRDefault="00326A2B" w:rsidP="00326A2B">
      <w:pPr>
        <w:ind w:left="1440" w:right="1008"/>
        <w:rPr>
          <w:rFonts w:ascii="Times New Roman" w:hAnsi="Times New Roman"/>
          <w:b/>
          <w:i/>
          <w:strike/>
        </w:rPr>
      </w:pPr>
    </w:p>
    <w:p w:rsidR="00326A2B" w:rsidRPr="00326A2B" w:rsidRDefault="00326A2B" w:rsidP="00326A2B">
      <w:pPr>
        <w:ind w:right="1008"/>
        <w:rPr>
          <w:rFonts w:ascii="Times New Roman" w:hAnsi="Times New Roman"/>
          <w:b/>
          <w:i/>
        </w:rPr>
      </w:pPr>
      <w:r w:rsidRPr="00326A2B">
        <w:rPr>
          <w:rFonts w:ascii="Times New Roman" w:hAnsi="Times New Roman"/>
          <w:b/>
          <w:i/>
          <w:u w:val="single"/>
        </w:rPr>
        <w:t>PROCEDURES</w:t>
      </w:r>
      <w:r w:rsidRPr="00326A2B">
        <w:rPr>
          <w:rFonts w:ascii="Times New Roman" w:hAnsi="Times New Roman"/>
          <w:b/>
          <w:i/>
        </w:rPr>
        <w:t xml:space="preserve">  </w:t>
      </w:r>
    </w:p>
    <w:p w:rsidR="00326A2B" w:rsidRPr="00326A2B" w:rsidRDefault="00326A2B" w:rsidP="00326A2B">
      <w:pPr>
        <w:ind w:right="1008"/>
        <w:rPr>
          <w:rFonts w:ascii="Times New Roman" w:hAnsi="Times New Roman"/>
          <w:i/>
        </w:rPr>
      </w:pPr>
      <w:r w:rsidRPr="00326A2B">
        <w:rPr>
          <w:rFonts w:ascii="Times New Roman" w:hAnsi="Times New Roman"/>
          <w:i/>
        </w:rPr>
        <w:lastRenderedPageBreak/>
        <w:t xml:space="preserve"> </w:t>
      </w:r>
      <w:r w:rsidRPr="00326A2B">
        <w:rPr>
          <w:rFonts w:ascii="Times New Roman" w:hAnsi="Times New Roman"/>
          <w:i/>
          <w:u w:val="single"/>
        </w:rPr>
        <w:t>Determining Whether a Conflict of Interest Exists</w:t>
      </w:r>
      <w:r w:rsidRPr="00326A2B">
        <w:rPr>
          <w:rFonts w:ascii="Times New Roman" w:hAnsi="Times New Roman"/>
          <w:i/>
        </w:rPr>
        <w:t xml:space="preserve"> </w:t>
      </w:r>
    </w:p>
    <w:p w:rsidR="00326A2B" w:rsidRPr="00326A2B" w:rsidRDefault="00326A2B" w:rsidP="00326A2B">
      <w:pPr>
        <w:pStyle w:val="ListParagraph"/>
        <w:numPr>
          <w:ilvl w:val="0"/>
          <w:numId w:val="8"/>
        </w:numPr>
        <w:spacing w:after="0"/>
        <w:ind w:right="1008"/>
        <w:rPr>
          <w:rFonts w:ascii="Times New Roman" w:hAnsi="Times New Roman"/>
          <w:i/>
        </w:rPr>
      </w:pPr>
      <w:r w:rsidRPr="00326A2B">
        <w:rPr>
          <w:rFonts w:ascii="Times New Roman" w:hAnsi="Times New Roman"/>
          <w:i/>
        </w:rPr>
        <w:t>After disclosure of a Financial Interest and all material facts, and after any discussion with the Interested Person, he/she shall leave the governing board or committee meeting while determination of a conflict of interest is discussed and voted upon.  The remaining board or committee members shall decide if a conflict of interest exists.</w:t>
      </w:r>
    </w:p>
    <w:p w:rsidR="00326A2B" w:rsidRPr="00326A2B" w:rsidRDefault="00326A2B" w:rsidP="00326A2B">
      <w:pPr>
        <w:ind w:left="1440" w:right="1008"/>
        <w:rPr>
          <w:rFonts w:ascii="Times New Roman" w:hAnsi="Times New Roman"/>
          <w:i/>
        </w:rPr>
      </w:pPr>
    </w:p>
    <w:p w:rsidR="00326A2B" w:rsidRPr="00326A2B" w:rsidRDefault="00326A2B" w:rsidP="00326A2B">
      <w:pPr>
        <w:pStyle w:val="ListParagraph"/>
        <w:numPr>
          <w:ilvl w:val="0"/>
          <w:numId w:val="7"/>
        </w:numPr>
        <w:spacing w:after="0"/>
        <w:ind w:right="1008"/>
        <w:rPr>
          <w:rFonts w:ascii="Times New Roman" w:hAnsi="Times New Roman"/>
          <w:i/>
        </w:rPr>
      </w:pPr>
      <w:r w:rsidRPr="00326A2B">
        <w:rPr>
          <w:rFonts w:ascii="Times New Roman" w:hAnsi="Times New Roman"/>
          <w:i/>
        </w:rPr>
        <w:t>The minutes of the governing board and all committees with board delegated powers shall contain:</w:t>
      </w:r>
    </w:p>
    <w:p w:rsidR="00326A2B" w:rsidRPr="00326A2B" w:rsidRDefault="00326A2B" w:rsidP="00326A2B">
      <w:pPr>
        <w:ind w:left="1440" w:right="1008"/>
        <w:rPr>
          <w:rFonts w:ascii="Times New Roman" w:hAnsi="Times New Roman"/>
          <w:i/>
        </w:rPr>
      </w:pPr>
    </w:p>
    <w:p w:rsidR="00326A2B" w:rsidRPr="00326A2B" w:rsidRDefault="00326A2B" w:rsidP="00326A2B">
      <w:pPr>
        <w:numPr>
          <w:ilvl w:val="0"/>
          <w:numId w:val="5"/>
        </w:numPr>
        <w:spacing w:after="0" w:line="240" w:lineRule="auto"/>
        <w:ind w:right="1008"/>
        <w:rPr>
          <w:rFonts w:ascii="Times New Roman" w:hAnsi="Times New Roman"/>
          <w:i/>
        </w:rPr>
      </w:pPr>
      <w:r w:rsidRPr="00326A2B">
        <w:rPr>
          <w:rFonts w:ascii="Times New Roman" w:hAnsi="Times New Roman"/>
          <w:i/>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326A2B" w:rsidRPr="00326A2B" w:rsidRDefault="00326A2B" w:rsidP="00326A2B">
      <w:pPr>
        <w:numPr>
          <w:ilvl w:val="0"/>
          <w:numId w:val="5"/>
        </w:numPr>
        <w:spacing w:after="0" w:line="240" w:lineRule="auto"/>
        <w:ind w:right="1008"/>
        <w:rPr>
          <w:rFonts w:ascii="Times New Roman" w:hAnsi="Times New Roman"/>
          <w:i/>
        </w:rPr>
      </w:pPr>
      <w:r w:rsidRPr="00326A2B">
        <w:rPr>
          <w:rFonts w:ascii="Times New Roman" w:hAnsi="Times New Roman"/>
          <w:i/>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326A2B" w:rsidRPr="00326A2B" w:rsidRDefault="00326A2B" w:rsidP="00326A2B">
      <w:pPr>
        <w:ind w:left="1440" w:right="1008"/>
        <w:rPr>
          <w:rFonts w:ascii="Times New Roman" w:hAnsi="Times New Roman"/>
          <w:i/>
        </w:rPr>
      </w:pPr>
    </w:p>
    <w:p w:rsidR="00326A2B" w:rsidRPr="00326A2B" w:rsidRDefault="00326A2B" w:rsidP="00326A2B">
      <w:pPr>
        <w:ind w:right="1008"/>
        <w:rPr>
          <w:rFonts w:ascii="Times New Roman" w:hAnsi="Times New Roman"/>
          <w:i/>
          <w:u w:val="single"/>
        </w:rPr>
      </w:pPr>
      <w:r w:rsidRPr="00326A2B">
        <w:rPr>
          <w:rFonts w:ascii="Times New Roman" w:hAnsi="Times New Roman"/>
          <w:i/>
          <w:u w:val="single"/>
        </w:rPr>
        <w:t>Addressing the Conflict of Interest</w:t>
      </w:r>
    </w:p>
    <w:p w:rsidR="00326A2B" w:rsidRPr="00326A2B" w:rsidRDefault="00326A2B" w:rsidP="00326A2B">
      <w:pPr>
        <w:ind w:left="1440" w:right="1008" w:hanging="720"/>
        <w:rPr>
          <w:rFonts w:ascii="Times New Roman" w:hAnsi="Times New Roman"/>
          <w:i/>
          <w:u w:val="single"/>
        </w:rPr>
      </w:pPr>
    </w:p>
    <w:p w:rsidR="00326A2B" w:rsidRPr="00326A2B" w:rsidRDefault="00326A2B" w:rsidP="00326A2B">
      <w:pPr>
        <w:pStyle w:val="ListParagraph"/>
        <w:numPr>
          <w:ilvl w:val="0"/>
          <w:numId w:val="9"/>
        </w:numPr>
        <w:spacing w:after="0"/>
        <w:ind w:right="1008"/>
        <w:rPr>
          <w:rFonts w:ascii="Times New Roman" w:hAnsi="Times New Roman"/>
          <w:i/>
        </w:rPr>
      </w:pPr>
      <w:r w:rsidRPr="00326A2B">
        <w:rPr>
          <w:rFonts w:ascii="Times New Roman" w:hAnsi="Times New Roman"/>
          <w:i/>
        </w:rPr>
        <w:t>An Interested Person may make a presentation at the governing board or committee meeting, but after the presentation he/she shall leave the meeting</w:t>
      </w:r>
      <w:r w:rsidRPr="00326A2B">
        <w:rPr>
          <w:rFonts w:ascii="Times New Roman" w:hAnsi="Times New Roman"/>
          <w:i/>
        </w:rPr>
        <w:tab/>
        <w:t>during the discussion of, and the vote on, the transaction or arrangement involving the possible conflict of interest.</w:t>
      </w:r>
    </w:p>
    <w:p w:rsidR="00326A2B" w:rsidRPr="00326A2B" w:rsidRDefault="00326A2B" w:rsidP="00326A2B">
      <w:pPr>
        <w:ind w:left="1440" w:right="1008" w:hanging="720"/>
        <w:rPr>
          <w:rFonts w:ascii="Times New Roman" w:hAnsi="Times New Roman"/>
          <w:i/>
        </w:rPr>
      </w:pPr>
    </w:p>
    <w:p w:rsidR="00326A2B" w:rsidRPr="00326A2B" w:rsidRDefault="00326A2B" w:rsidP="00326A2B">
      <w:pPr>
        <w:pStyle w:val="ListParagraph"/>
        <w:numPr>
          <w:ilvl w:val="0"/>
          <w:numId w:val="9"/>
        </w:numPr>
        <w:spacing w:after="0"/>
        <w:ind w:right="1008"/>
        <w:rPr>
          <w:rFonts w:ascii="Times New Roman" w:hAnsi="Times New Roman"/>
          <w:i/>
        </w:rPr>
      </w:pPr>
      <w:r w:rsidRPr="00326A2B">
        <w:rPr>
          <w:rFonts w:ascii="Times New Roman" w:hAnsi="Times New Roman"/>
          <w:i/>
        </w:rPr>
        <w:t xml:space="preserve">The chairperson of the governing board or committee shall, if appropriate, appoint a disinterested person or committee to investigate alternatives to the proposed transaction or arrangement.  </w:t>
      </w:r>
    </w:p>
    <w:p w:rsidR="00326A2B" w:rsidRPr="00326A2B" w:rsidRDefault="00326A2B" w:rsidP="00326A2B">
      <w:pPr>
        <w:ind w:left="1440" w:right="1008" w:hanging="720"/>
        <w:rPr>
          <w:rFonts w:ascii="Times New Roman" w:hAnsi="Times New Roman"/>
          <w:i/>
        </w:rPr>
      </w:pPr>
    </w:p>
    <w:p w:rsidR="00326A2B" w:rsidRPr="00326A2B" w:rsidRDefault="00326A2B" w:rsidP="00326A2B">
      <w:pPr>
        <w:pStyle w:val="ListParagraph"/>
        <w:numPr>
          <w:ilvl w:val="0"/>
          <w:numId w:val="9"/>
        </w:numPr>
        <w:spacing w:after="0"/>
        <w:ind w:right="1008"/>
        <w:rPr>
          <w:rFonts w:ascii="Times New Roman" w:hAnsi="Times New Roman"/>
          <w:i/>
        </w:rPr>
      </w:pPr>
      <w:r w:rsidRPr="00326A2B">
        <w:rPr>
          <w:rFonts w:ascii="Times New Roman" w:hAnsi="Times New Roman"/>
          <w:i/>
        </w:rPr>
        <w:t xml:space="preserve">After exercising due diligence, the governing board or committee shall </w:t>
      </w:r>
      <w:r w:rsidRPr="00326A2B">
        <w:rPr>
          <w:rFonts w:ascii="Times New Roman" w:hAnsi="Times New Roman"/>
          <w:i/>
        </w:rPr>
        <w:tab/>
        <w:t>determine whether THE CORPORATION can obtain with reasonable efforts a  more advantageous transaction or arrangement from a person or entity that  would not give rise to a conflict of interest.</w:t>
      </w:r>
    </w:p>
    <w:p w:rsidR="00326A2B" w:rsidRPr="00326A2B" w:rsidRDefault="00326A2B" w:rsidP="00326A2B">
      <w:pPr>
        <w:ind w:left="1440" w:right="1008" w:hanging="720"/>
        <w:rPr>
          <w:rFonts w:ascii="Times New Roman" w:hAnsi="Times New Roman"/>
          <w:i/>
        </w:rPr>
      </w:pPr>
    </w:p>
    <w:p w:rsidR="00326A2B" w:rsidRPr="00326A2B" w:rsidRDefault="00326A2B" w:rsidP="00326A2B">
      <w:pPr>
        <w:pStyle w:val="ListParagraph"/>
        <w:numPr>
          <w:ilvl w:val="0"/>
          <w:numId w:val="9"/>
        </w:numPr>
        <w:spacing w:after="0"/>
        <w:ind w:right="1008"/>
        <w:rPr>
          <w:rFonts w:ascii="Times New Roman" w:hAnsi="Times New Roman"/>
          <w:i/>
        </w:rPr>
      </w:pPr>
      <w:r w:rsidRPr="00326A2B">
        <w:rPr>
          <w:rFonts w:ascii="Times New Roman" w:hAnsi="Times New Roman"/>
          <w:i/>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w:t>
      </w:r>
      <w:r w:rsidRPr="00326A2B">
        <w:rPr>
          <w:rFonts w:ascii="Times New Roman" w:hAnsi="Times New Roman"/>
          <w:i/>
        </w:rPr>
        <w:lastRenderedPageBreak/>
        <w:t>determination it shall make its decision as to whether to enter into the transaction or arrangement.</w:t>
      </w:r>
    </w:p>
    <w:p w:rsidR="00326A2B" w:rsidRPr="00326A2B" w:rsidRDefault="00326A2B" w:rsidP="00326A2B">
      <w:pPr>
        <w:ind w:left="1440" w:right="1008" w:hanging="720"/>
        <w:rPr>
          <w:rFonts w:ascii="Times New Roman" w:hAnsi="Times New Roman"/>
          <w:i/>
        </w:rPr>
      </w:pPr>
    </w:p>
    <w:p w:rsidR="00326A2B" w:rsidRPr="00326A2B" w:rsidRDefault="00326A2B" w:rsidP="00326A2B">
      <w:pPr>
        <w:ind w:right="1008"/>
        <w:rPr>
          <w:rFonts w:ascii="Times New Roman" w:hAnsi="Times New Roman"/>
          <w:i/>
        </w:rPr>
      </w:pPr>
      <w:r w:rsidRPr="00326A2B">
        <w:rPr>
          <w:rFonts w:ascii="Times New Roman" w:hAnsi="Times New Roman"/>
          <w:i/>
          <w:u w:val="single"/>
        </w:rPr>
        <w:t>Violations of the Conflicts of Interest Policy</w:t>
      </w:r>
      <w:r w:rsidRPr="00326A2B">
        <w:rPr>
          <w:rFonts w:ascii="Times New Roman" w:hAnsi="Times New Roman"/>
          <w:i/>
        </w:rPr>
        <w:t xml:space="preserve"> </w:t>
      </w:r>
    </w:p>
    <w:p w:rsidR="00326A2B" w:rsidRPr="00326A2B" w:rsidRDefault="00326A2B" w:rsidP="00326A2B">
      <w:pPr>
        <w:pStyle w:val="ListParagraph"/>
        <w:numPr>
          <w:ilvl w:val="0"/>
          <w:numId w:val="10"/>
        </w:numPr>
        <w:spacing w:after="0"/>
        <w:ind w:right="1008"/>
        <w:rPr>
          <w:rFonts w:ascii="Times New Roman" w:hAnsi="Times New Roman"/>
          <w:i/>
        </w:rPr>
      </w:pPr>
      <w:r w:rsidRPr="00326A2B">
        <w:rPr>
          <w:rFonts w:ascii="Times New Roman" w:hAnsi="Times New Roman"/>
          <w:i/>
        </w:rPr>
        <w:t>If the Governing board or committee has reasonable cause to believe a Covered Person has failed to disclose actual or possible conflicts of interest, the Covered Person shall be informed of the basis for such belief and shall be afforded an opportunity to explain the alleged failure to disclose.</w:t>
      </w:r>
    </w:p>
    <w:p w:rsidR="00326A2B" w:rsidRPr="00326A2B" w:rsidRDefault="00326A2B" w:rsidP="00326A2B">
      <w:pPr>
        <w:ind w:left="1440" w:right="1008" w:hanging="720"/>
        <w:rPr>
          <w:rFonts w:ascii="Times New Roman" w:hAnsi="Times New Roman"/>
          <w:i/>
        </w:rPr>
      </w:pPr>
    </w:p>
    <w:p w:rsidR="00326A2B" w:rsidRPr="00326A2B" w:rsidRDefault="00326A2B" w:rsidP="00326A2B">
      <w:pPr>
        <w:pStyle w:val="ListParagraph"/>
        <w:numPr>
          <w:ilvl w:val="0"/>
          <w:numId w:val="10"/>
        </w:numPr>
        <w:spacing w:after="0"/>
        <w:ind w:right="1008"/>
        <w:rPr>
          <w:rFonts w:ascii="Times New Roman" w:hAnsi="Times New Roman"/>
          <w:i/>
        </w:rPr>
      </w:pPr>
      <w:r w:rsidRPr="00326A2B">
        <w:rPr>
          <w:rFonts w:ascii="Times New Roman" w:hAnsi="Times New Roman"/>
          <w:i/>
        </w:rPr>
        <w:t>If, after hearing the Covered Person’s response and after making further investigation as warranted by the circumstances,  it is determined that the Covered Person has in fact failed to disclose an actual or possible conflict of interest,  disciplinary and corrective action shall be taken by the Chief Compliance Officer or by the governing board, as appropriate.</w:t>
      </w:r>
    </w:p>
    <w:p w:rsidR="00326A2B" w:rsidRPr="00326A2B" w:rsidRDefault="00326A2B" w:rsidP="00326A2B">
      <w:pPr>
        <w:ind w:left="1440" w:right="1008" w:hanging="720"/>
        <w:rPr>
          <w:rFonts w:ascii="Times New Roman" w:hAnsi="Times New Roman"/>
          <w:i/>
        </w:rPr>
      </w:pPr>
    </w:p>
    <w:p w:rsidR="00326A2B" w:rsidRPr="00326A2B" w:rsidRDefault="00326A2B" w:rsidP="00326A2B">
      <w:pPr>
        <w:ind w:right="1008"/>
        <w:rPr>
          <w:rFonts w:ascii="Times New Roman" w:hAnsi="Times New Roman"/>
          <w:i/>
        </w:rPr>
      </w:pPr>
      <w:r w:rsidRPr="00326A2B">
        <w:rPr>
          <w:rFonts w:ascii="Times New Roman" w:hAnsi="Times New Roman"/>
          <w:i/>
          <w:u w:val="single"/>
        </w:rPr>
        <w:t>Compensation</w:t>
      </w:r>
      <w:r w:rsidRPr="00326A2B">
        <w:rPr>
          <w:rFonts w:ascii="Times New Roman" w:hAnsi="Times New Roman"/>
          <w:i/>
        </w:rPr>
        <w:t>.</w:t>
      </w:r>
    </w:p>
    <w:p w:rsidR="00326A2B" w:rsidRPr="00326A2B" w:rsidRDefault="00326A2B" w:rsidP="00326A2B">
      <w:pPr>
        <w:pStyle w:val="ListParagraph"/>
        <w:numPr>
          <w:ilvl w:val="0"/>
          <w:numId w:val="11"/>
        </w:numPr>
        <w:spacing w:after="0"/>
        <w:ind w:right="1008"/>
        <w:rPr>
          <w:rFonts w:ascii="Times New Roman" w:hAnsi="Times New Roman"/>
          <w:i/>
        </w:rPr>
      </w:pPr>
      <w:r w:rsidRPr="00326A2B">
        <w:rPr>
          <w:rFonts w:ascii="Times New Roman" w:hAnsi="Times New Roman"/>
          <w:i/>
        </w:rPr>
        <w:t>Voting members of the governing board and members of committees with board delegated authority who receive compensation, directly or indirectly, from THE CORPORATION for services are precluded from voting on matters pertaining to such compensation.</w:t>
      </w:r>
    </w:p>
    <w:p w:rsidR="00326A2B" w:rsidRPr="00326A2B" w:rsidRDefault="00326A2B" w:rsidP="00326A2B">
      <w:pPr>
        <w:ind w:right="1008"/>
        <w:rPr>
          <w:rFonts w:ascii="Times New Roman" w:hAnsi="Times New Roman"/>
          <w:i/>
        </w:rPr>
      </w:pPr>
    </w:p>
    <w:p w:rsidR="00326A2B" w:rsidRPr="00326A2B" w:rsidRDefault="00326A2B" w:rsidP="00326A2B">
      <w:pPr>
        <w:ind w:right="1008"/>
        <w:rPr>
          <w:rFonts w:ascii="Times New Roman" w:hAnsi="Times New Roman"/>
          <w:b/>
          <w:i/>
          <w:u w:val="single"/>
        </w:rPr>
      </w:pPr>
      <w:r w:rsidRPr="00326A2B">
        <w:rPr>
          <w:rFonts w:ascii="Times New Roman" w:hAnsi="Times New Roman"/>
          <w:b/>
          <w:i/>
          <w:u w:val="single"/>
        </w:rPr>
        <w:t xml:space="preserve">EXAMPLES </w:t>
      </w:r>
      <w:r w:rsidR="009C23A9" w:rsidRPr="00326A2B">
        <w:rPr>
          <w:rFonts w:ascii="Times New Roman" w:hAnsi="Times New Roman"/>
          <w:b/>
          <w:i/>
          <w:u w:val="single"/>
        </w:rPr>
        <w:t>AND GUIDELINES</w:t>
      </w:r>
    </w:p>
    <w:p w:rsidR="00326A2B" w:rsidRPr="00326A2B" w:rsidRDefault="00326A2B" w:rsidP="00326A2B">
      <w:pPr>
        <w:ind w:right="1008"/>
        <w:rPr>
          <w:rFonts w:ascii="Times New Roman" w:hAnsi="Times New Roman"/>
          <w:i/>
          <w:u w:val="single"/>
        </w:rPr>
      </w:pPr>
      <w:r w:rsidRPr="00326A2B">
        <w:rPr>
          <w:rFonts w:ascii="Times New Roman" w:hAnsi="Times New Roman"/>
          <w:i/>
          <w:u w:val="single"/>
        </w:rPr>
        <w:t>Financial</w:t>
      </w:r>
    </w:p>
    <w:p w:rsidR="00326A2B" w:rsidRPr="00326A2B" w:rsidRDefault="00326A2B" w:rsidP="00326A2B">
      <w:pPr>
        <w:ind w:right="1008"/>
        <w:rPr>
          <w:rFonts w:ascii="Times New Roman" w:hAnsi="Times New Roman"/>
          <w:i/>
        </w:rPr>
      </w:pPr>
      <w:r w:rsidRPr="00326A2B">
        <w:rPr>
          <w:rFonts w:ascii="Times New Roman" w:hAnsi="Times New Roman"/>
          <w:i/>
        </w:rPr>
        <w:t xml:space="preserve">The following </w:t>
      </w:r>
      <w:r w:rsidR="009C23A9" w:rsidRPr="00326A2B">
        <w:rPr>
          <w:rFonts w:ascii="Times New Roman" w:hAnsi="Times New Roman"/>
          <w:i/>
        </w:rPr>
        <w:t>illustrations</w:t>
      </w:r>
      <w:r w:rsidRPr="00326A2B">
        <w:rPr>
          <w:rFonts w:ascii="Times New Roman" w:hAnsi="Times New Roman"/>
          <w:i/>
        </w:rPr>
        <w:t xml:space="preserve"> while not all inclusive, are intended to be representative of the kinds of financial activities that might be engaged in by a Covered Person or a member of his/her household and which could cause a conflict of interest.  Any of the items below will require a disclosure in writing in accordance with paragraph 5.2.</w:t>
      </w:r>
    </w:p>
    <w:p w:rsidR="00326A2B" w:rsidRPr="00326A2B" w:rsidRDefault="00326A2B" w:rsidP="00326A2B">
      <w:pPr>
        <w:pStyle w:val="ListParagraph"/>
        <w:numPr>
          <w:ilvl w:val="0"/>
          <w:numId w:val="11"/>
        </w:numPr>
        <w:spacing w:after="0"/>
        <w:ind w:right="1008"/>
        <w:rPr>
          <w:rFonts w:ascii="Times New Roman" w:hAnsi="Times New Roman"/>
          <w:b/>
          <w:i/>
        </w:rPr>
      </w:pPr>
      <w:r w:rsidRPr="00326A2B">
        <w:rPr>
          <w:rFonts w:ascii="Times New Roman" w:hAnsi="Times New Roman"/>
          <w:i/>
        </w:rPr>
        <w:t>Ownership in any outside concern that does business with THE CORPORATION.  This does not apply to stock or other investments in a publicly held corporation, provided that the value of such stock or other investment does not exceed one percent of the corporation's outstanding stock.  THE CORPORATION may, following a review of the relevant facts, permit ownership interests which exceed one percent if management concludes that such ownership interest will not impact THE CORPORATION's business interests or the judgment of the Covered Person.</w:t>
      </w:r>
    </w:p>
    <w:p w:rsidR="00326A2B" w:rsidRPr="00326A2B" w:rsidRDefault="00326A2B" w:rsidP="00326A2B">
      <w:pPr>
        <w:ind w:right="1008"/>
        <w:rPr>
          <w:rFonts w:ascii="Times New Roman" w:hAnsi="Times New Roman"/>
          <w:b/>
          <w:i/>
        </w:rPr>
      </w:pPr>
    </w:p>
    <w:p w:rsidR="00326A2B" w:rsidRPr="00326A2B" w:rsidRDefault="00326A2B" w:rsidP="00326A2B">
      <w:pPr>
        <w:pStyle w:val="ListParagraph"/>
        <w:numPr>
          <w:ilvl w:val="0"/>
          <w:numId w:val="11"/>
        </w:numPr>
        <w:spacing w:after="0"/>
        <w:ind w:right="1008"/>
        <w:rPr>
          <w:rFonts w:ascii="Times New Roman" w:hAnsi="Times New Roman"/>
          <w:i/>
        </w:rPr>
      </w:pPr>
      <w:r w:rsidRPr="00326A2B">
        <w:rPr>
          <w:rFonts w:ascii="Times New Roman" w:hAnsi="Times New Roman"/>
          <w:i/>
        </w:rPr>
        <w:t>Representation of THE CORPORATION by a Covered Person in any transaction in which he/she or a household member has a substantial personal interest.</w:t>
      </w:r>
    </w:p>
    <w:p w:rsidR="00326A2B" w:rsidRPr="00326A2B" w:rsidRDefault="00326A2B" w:rsidP="00326A2B">
      <w:pPr>
        <w:ind w:left="2160" w:right="1008" w:hanging="720"/>
        <w:rPr>
          <w:rFonts w:ascii="Times New Roman" w:hAnsi="Times New Roman"/>
          <w:i/>
        </w:rPr>
      </w:pPr>
    </w:p>
    <w:p w:rsidR="00326A2B" w:rsidRPr="00326A2B" w:rsidRDefault="00326A2B" w:rsidP="00326A2B">
      <w:pPr>
        <w:pStyle w:val="ListParagraph"/>
        <w:numPr>
          <w:ilvl w:val="0"/>
          <w:numId w:val="11"/>
        </w:numPr>
        <w:spacing w:after="0"/>
        <w:ind w:right="1008"/>
        <w:rPr>
          <w:rFonts w:ascii="Times New Roman" w:hAnsi="Times New Roman"/>
          <w:i/>
        </w:rPr>
      </w:pPr>
      <w:r w:rsidRPr="00326A2B">
        <w:rPr>
          <w:rFonts w:ascii="Times New Roman" w:hAnsi="Times New Roman"/>
          <w:i/>
        </w:rPr>
        <w:t xml:space="preserve">Conduct of any business with any THE CORPORATION vendor, supplier, contractor, or agency, or with any of their officers or employees.  </w:t>
      </w:r>
    </w:p>
    <w:p w:rsidR="00326A2B" w:rsidRPr="00326A2B" w:rsidRDefault="00326A2B" w:rsidP="00326A2B">
      <w:pPr>
        <w:ind w:left="2160" w:right="1008" w:hanging="720"/>
        <w:rPr>
          <w:rFonts w:ascii="Times New Roman" w:hAnsi="Times New Roman"/>
          <w:i/>
        </w:rPr>
      </w:pPr>
    </w:p>
    <w:p w:rsidR="00326A2B" w:rsidRPr="00326A2B" w:rsidRDefault="00326A2B" w:rsidP="00326A2B">
      <w:pPr>
        <w:pStyle w:val="ListParagraph"/>
        <w:numPr>
          <w:ilvl w:val="0"/>
          <w:numId w:val="11"/>
        </w:numPr>
        <w:spacing w:after="0"/>
        <w:ind w:right="1008"/>
        <w:rPr>
          <w:rFonts w:ascii="Times New Roman" w:hAnsi="Times New Roman"/>
          <w:i/>
        </w:rPr>
      </w:pPr>
      <w:r w:rsidRPr="00326A2B">
        <w:rPr>
          <w:rFonts w:ascii="Times New Roman" w:hAnsi="Times New Roman"/>
          <w:i/>
        </w:rPr>
        <w:t>Disclosure or use of confidential, special, or inside information of, or about, THE CORPORATION particularly if such disclosure or use might accrue to the personal profit or advantage of a Covered Person or a household member.</w:t>
      </w:r>
    </w:p>
    <w:p w:rsidR="00326A2B" w:rsidRPr="00326A2B" w:rsidRDefault="00326A2B" w:rsidP="00326A2B">
      <w:pPr>
        <w:ind w:left="2160" w:right="1008" w:hanging="720"/>
        <w:rPr>
          <w:rFonts w:ascii="Times New Roman" w:hAnsi="Times New Roman"/>
          <w:i/>
        </w:rPr>
      </w:pPr>
    </w:p>
    <w:p w:rsidR="00326A2B" w:rsidRPr="00326A2B" w:rsidRDefault="00326A2B" w:rsidP="00326A2B">
      <w:pPr>
        <w:pStyle w:val="ListParagraph"/>
        <w:numPr>
          <w:ilvl w:val="0"/>
          <w:numId w:val="11"/>
        </w:numPr>
        <w:spacing w:after="0"/>
        <w:ind w:right="1008"/>
        <w:rPr>
          <w:rFonts w:ascii="Times New Roman" w:hAnsi="Times New Roman"/>
          <w:i/>
        </w:rPr>
      </w:pPr>
      <w:r w:rsidRPr="00326A2B">
        <w:rPr>
          <w:rFonts w:ascii="Times New Roman" w:hAnsi="Times New Roman"/>
          <w:i/>
        </w:rPr>
        <w:t>Competition with THE CORPORATION by a Covered Person, directly or indirectly, in the purchase, sale, or ownership of property or property rights or interests, or in business investment opportunities.</w:t>
      </w:r>
    </w:p>
    <w:p w:rsidR="00326A2B" w:rsidRPr="00326A2B" w:rsidRDefault="00326A2B" w:rsidP="00326A2B">
      <w:pPr>
        <w:ind w:right="1008"/>
        <w:rPr>
          <w:rFonts w:ascii="Times New Roman" w:hAnsi="Times New Roman"/>
          <w:i/>
        </w:rPr>
      </w:pPr>
    </w:p>
    <w:p w:rsidR="00326A2B" w:rsidRPr="00326A2B" w:rsidRDefault="00326A2B" w:rsidP="00326A2B">
      <w:pPr>
        <w:ind w:right="1008"/>
        <w:rPr>
          <w:rFonts w:ascii="Times New Roman" w:hAnsi="Times New Roman"/>
          <w:i/>
          <w:u w:val="single"/>
        </w:rPr>
      </w:pPr>
      <w:r w:rsidRPr="00326A2B">
        <w:rPr>
          <w:rFonts w:ascii="Times New Roman" w:hAnsi="Times New Roman"/>
          <w:i/>
          <w:u w:val="single"/>
        </w:rPr>
        <w:t>Performance of Service for Competitors or Vendors</w:t>
      </w:r>
    </w:p>
    <w:p w:rsidR="00326A2B" w:rsidRPr="00326A2B" w:rsidRDefault="00326A2B" w:rsidP="00326A2B">
      <w:pPr>
        <w:pStyle w:val="ListParagraph"/>
        <w:numPr>
          <w:ilvl w:val="0"/>
          <w:numId w:val="12"/>
        </w:numPr>
        <w:spacing w:after="0"/>
        <w:ind w:right="1008"/>
        <w:rPr>
          <w:rFonts w:ascii="Times New Roman" w:hAnsi="Times New Roman"/>
          <w:i/>
        </w:rPr>
      </w:pPr>
      <w:r w:rsidRPr="00326A2B">
        <w:rPr>
          <w:rFonts w:ascii="Times New Roman" w:hAnsi="Times New Roman"/>
          <w:i/>
        </w:rPr>
        <w:t>No Covered Person shall perform work, or render services for, or be employed by any competitor of THE CORPORATION or for any organization with which THE CORPORATION does business or which seeks to do business with THE CORPORATION outside of the normal course of his/her employment with THE CORPORATION without the approval of the Executive Director of THE CORPORATION.  Nor shall any employee be a director, trustee, officer, or consultant of such an organization, nor shall he/she permit his/her name to be used in any manner that would tend to indicate a business connection with such organization.</w:t>
      </w:r>
    </w:p>
    <w:p w:rsidR="00326A2B" w:rsidRDefault="00326A2B" w:rsidP="00720F56">
      <w:pPr>
        <w:pStyle w:val="NormalWeb"/>
        <w:spacing w:line="240" w:lineRule="atLeast"/>
        <w:rPr>
          <w:b/>
        </w:rPr>
      </w:pPr>
    </w:p>
    <w:p w:rsidR="00326A2B" w:rsidRDefault="00326A2B" w:rsidP="00720F56">
      <w:pPr>
        <w:pStyle w:val="NormalWeb"/>
        <w:spacing w:line="240" w:lineRule="atLeast"/>
        <w:rPr>
          <w:b/>
        </w:rPr>
      </w:pPr>
    </w:p>
    <w:p w:rsidR="00326A2B" w:rsidRDefault="00326A2B" w:rsidP="00720F56">
      <w:pPr>
        <w:pStyle w:val="NormalWeb"/>
        <w:spacing w:line="240" w:lineRule="atLeast"/>
        <w:rPr>
          <w:b/>
        </w:rPr>
      </w:pPr>
    </w:p>
    <w:p w:rsidR="00326A2B" w:rsidRDefault="00326A2B" w:rsidP="00720F56">
      <w:pPr>
        <w:pStyle w:val="NormalWeb"/>
        <w:spacing w:line="240" w:lineRule="atLeast"/>
        <w:rPr>
          <w:b/>
        </w:rPr>
      </w:pPr>
    </w:p>
    <w:p w:rsidR="007E5B6B" w:rsidRPr="00326A2B" w:rsidRDefault="007E5B6B" w:rsidP="00720F56">
      <w:pPr>
        <w:pStyle w:val="NormalWeb"/>
        <w:spacing w:line="240" w:lineRule="atLeast"/>
        <w:rPr>
          <w:b/>
        </w:rPr>
      </w:pPr>
      <w:r w:rsidRPr="00326A2B">
        <w:rPr>
          <w:b/>
        </w:rPr>
        <w:t>Part VI – Provision of goods and services.</w:t>
      </w:r>
    </w:p>
    <w:p w:rsidR="007E5B6B" w:rsidRPr="00326A2B" w:rsidRDefault="007E5B6B" w:rsidP="00720F56">
      <w:pPr>
        <w:pStyle w:val="NormalWeb"/>
        <w:spacing w:line="240" w:lineRule="atLeast"/>
        <w:rPr>
          <w:b/>
        </w:rPr>
      </w:pPr>
    </w:p>
    <w:p w:rsidR="00FA03BF" w:rsidRDefault="00CF1D4A" w:rsidP="00720F56">
      <w:pPr>
        <w:pStyle w:val="NormalWeb"/>
        <w:spacing w:line="240" w:lineRule="atLeast"/>
        <w:rPr>
          <w:color w:val="FF0000"/>
        </w:rPr>
      </w:pPr>
      <w:r>
        <w:t>MYTAKES</w:t>
      </w:r>
      <w:r w:rsidR="007E5B6B" w:rsidRPr="00326A2B">
        <w:t xml:space="preserve"> is a </w:t>
      </w:r>
      <w:r w:rsidR="00660F22" w:rsidRPr="00326A2B">
        <w:t>community</w:t>
      </w:r>
      <w:r w:rsidR="007E5B6B" w:rsidRPr="00326A2B">
        <w:t xml:space="preserve"> organization providing </w:t>
      </w:r>
      <w:r w:rsidR="00FA03BF">
        <w:t>on-line</w:t>
      </w:r>
      <w:r w:rsidR="007E5B6B" w:rsidRPr="00326A2B">
        <w:t xml:space="preserve"> resources for people </w:t>
      </w:r>
      <w:r w:rsidR="00FA03BF">
        <w:t>to engage in political and other discussions in a fact-based environment.</w:t>
      </w:r>
      <w:r w:rsidR="007E5B6B" w:rsidRPr="00326A2B">
        <w:t xml:space="preserve">.  </w:t>
      </w:r>
      <w:r w:rsidR="00710CC1">
        <w:t xml:space="preserve">Access to the site </w:t>
      </w:r>
      <w:r w:rsidR="007E5B6B" w:rsidRPr="00FA03BF">
        <w:rPr>
          <w:color w:val="FF0000"/>
        </w:rPr>
        <w:t xml:space="preserve">will be offered free of charge.  </w:t>
      </w:r>
    </w:p>
    <w:p w:rsidR="00FA03BF" w:rsidRDefault="00FA03BF" w:rsidP="00720F56">
      <w:pPr>
        <w:pStyle w:val="NormalWeb"/>
        <w:spacing w:line="240" w:lineRule="atLeast"/>
      </w:pPr>
    </w:p>
    <w:p w:rsidR="007E5B6B" w:rsidRDefault="00FA03BF" w:rsidP="00720F56">
      <w:pPr>
        <w:pStyle w:val="NormalWeb"/>
        <w:spacing w:line="240" w:lineRule="atLeast"/>
      </w:pPr>
      <w:r>
        <w:t>Participation is user-driven only.  The site is open to all users without restriction.</w:t>
      </w:r>
    </w:p>
    <w:p w:rsidR="00710CC1" w:rsidRDefault="00710CC1" w:rsidP="00720F56">
      <w:pPr>
        <w:pStyle w:val="NormalWeb"/>
        <w:spacing w:line="240" w:lineRule="atLeast"/>
      </w:pPr>
    </w:p>
    <w:p w:rsidR="00710CC1" w:rsidRPr="00326A2B" w:rsidRDefault="00710CC1" w:rsidP="00720F56">
      <w:pPr>
        <w:pStyle w:val="NormalWeb"/>
        <w:spacing w:line="240" w:lineRule="atLeast"/>
      </w:pPr>
      <w:r>
        <w:t>Ads will be used to generate revenue.</w:t>
      </w:r>
    </w:p>
    <w:p w:rsidR="007E5B6B" w:rsidRPr="00326A2B" w:rsidRDefault="007E5B6B" w:rsidP="00720F56">
      <w:pPr>
        <w:pStyle w:val="NormalWeb"/>
        <w:spacing w:line="240" w:lineRule="atLeast"/>
      </w:pPr>
    </w:p>
    <w:p w:rsidR="007E5B6B" w:rsidRPr="00326A2B" w:rsidRDefault="007E5B6B" w:rsidP="00720F56">
      <w:pPr>
        <w:pStyle w:val="NormalWeb"/>
        <w:spacing w:line="240" w:lineRule="atLeast"/>
      </w:pPr>
    </w:p>
    <w:p w:rsidR="007E5B6B" w:rsidRPr="00326A2B" w:rsidRDefault="007E5B6B" w:rsidP="00720F56">
      <w:pPr>
        <w:pStyle w:val="NormalWeb"/>
        <w:spacing w:line="240" w:lineRule="atLeast"/>
        <w:rPr>
          <w:b/>
        </w:rPr>
      </w:pPr>
      <w:r w:rsidRPr="00326A2B">
        <w:rPr>
          <w:b/>
        </w:rPr>
        <w:t>Part VIII</w:t>
      </w:r>
    </w:p>
    <w:p w:rsidR="007E5B6B" w:rsidRPr="00326A2B" w:rsidRDefault="007E5B6B" w:rsidP="00720F56">
      <w:pPr>
        <w:pStyle w:val="NormalWeb"/>
        <w:spacing w:line="240" w:lineRule="atLeast"/>
        <w:rPr>
          <w:b/>
        </w:rPr>
      </w:pPr>
    </w:p>
    <w:p w:rsidR="007E5B6B" w:rsidRDefault="00CF1D4A" w:rsidP="00720F56">
      <w:pPr>
        <w:pStyle w:val="NormalWeb"/>
        <w:spacing w:line="240" w:lineRule="atLeast"/>
      </w:pPr>
      <w:r>
        <w:t>MYTAKES</w:t>
      </w:r>
      <w:r w:rsidR="007E5B6B" w:rsidRPr="00326A2B">
        <w:t xml:space="preserve"> will accept donations of vehicles and real property to be sold to support the efforts of </w:t>
      </w:r>
      <w:r w:rsidR="00FA03BF">
        <w:t>MyTakes</w:t>
      </w:r>
      <w:r w:rsidR="007E5B6B" w:rsidRPr="00326A2B">
        <w:t>.  Acceptance of such items will be evaluated and approved according to the policies and procedures set forth by</w:t>
      </w:r>
      <w:r w:rsidR="00326A2B">
        <w:t xml:space="preserve"> </w:t>
      </w:r>
      <w:r>
        <w:t>MYTAKES</w:t>
      </w:r>
      <w:r w:rsidR="00326A2B">
        <w:t>, and will be recorded per accepted accounting standards.</w:t>
      </w:r>
    </w:p>
    <w:p w:rsidR="00097913" w:rsidRDefault="00097913" w:rsidP="00720F56">
      <w:pPr>
        <w:pStyle w:val="NormalWeb"/>
        <w:spacing w:line="240" w:lineRule="atLeast"/>
      </w:pPr>
    </w:p>
    <w:p w:rsidR="00097913" w:rsidRDefault="00097913" w:rsidP="00720F56">
      <w:pPr>
        <w:pStyle w:val="NormalWeb"/>
        <w:spacing w:line="240" w:lineRule="atLeast"/>
      </w:pPr>
    </w:p>
    <w:p w:rsidR="00097913" w:rsidRDefault="00097913" w:rsidP="00720F56">
      <w:pPr>
        <w:pStyle w:val="NormalWeb"/>
        <w:spacing w:line="240" w:lineRule="atLeast"/>
        <w:rPr>
          <w:b/>
        </w:rPr>
      </w:pPr>
      <w:r>
        <w:rPr>
          <w:b/>
        </w:rPr>
        <w:t>Part IX – Financial Data</w:t>
      </w:r>
    </w:p>
    <w:p w:rsidR="0000751C" w:rsidRDefault="0000751C" w:rsidP="00720F56">
      <w:pPr>
        <w:pStyle w:val="NormalWeb"/>
        <w:spacing w:line="240" w:lineRule="atLeast"/>
      </w:pPr>
    </w:p>
    <w:p w:rsidR="0000751C" w:rsidRDefault="0000751C" w:rsidP="00720F56">
      <w:pPr>
        <w:pStyle w:val="NormalWeb"/>
        <w:spacing w:line="240" w:lineRule="atLeast"/>
      </w:pPr>
    </w:p>
    <w:p w:rsidR="0000751C" w:rsidRDefault="0000751C" w:rsidP="00720F56">
      <w:pPr>
        <w:pStyle w:val="NormalWeb"/>
        <w:spacing w:line="240" w:lineRule="atLeast"/>
      </w:pPr>
      <w:r>
        <w:t xml:space="preserve">Revenue:  </w:t>
      </w:r>
    </w:p>
    <w:p w:rsidR="0000751C" w:rsidRDefault="0000751C" w:rsidP="0000751C">
      <w:pPr>
        <w:pStyle w:val="NormalWeb"/>
        <w:spacing w:line="240" w:lineRule="atLeast"/>
        <w:ind w:firstLine="720"/>
      </w:pPr>
      <w:r>
        <w:lastRenderedPageBreak/>
        <w:t>Line 9, Receipts f</w:t>
      </w:r>
      <w:r w:rsidR="000A3479">
        <w:t>r</w:t>
      </w:r>
      <w:r>
        <w:t xml:space="preserve">om admissions , merchandise or services performed – </w:t>
      </w:r>
      <w:r w:rsidRPr="000A3479">
        <w:rPr>
          <w:color w:val="FF0000"/>
        </w:rPr>
        <w:t>we do not anticipate such fees for service in the upcoming fiscal year, but we do anticipate fees for</w:t>
      </w:r>
      <w:r>
        <w:t xml:space="preserve"> </w:t>
      </w:r>
      <w:r w:rsidR="00710CC1">
        <w:rPr>
          <w:i/>
          <w:color w:val="FF0000"/>
        </w:rPr>
        <w:t xml:space="preserve">advertisers.  </w:t>
      </w:r>
      <w:r w:rsidR="00710CC1">
        <w:t xml:space="preserve">Initially the majority of our income will come from individual donations and grants. </w:t>
      </w:r>
      <w:r>
        <w:t xml:space="preserve">As awareness grows and </w:t>
      </w:r>
      <w:r w:rsidR="00D87FFC">
        <w:t>participation increases</w:t>
      </w:r>
      <w:r>
        <w:t xml:space="preserve">, we anticipate that income </w:t>
      </w:r>
      <w:r w:rsidR="00710CC1">
        <w:t xml:space="preserve">from advertising </w:t>
      </w:r>
      <w:r>
        <w:t xml:space="preserve">will increase. </w:t>
      </w:r>
    </w:p>
    <w:p w:rsidR="0000751C" w:rsidRDefault="0000751C" w:rsidP="0000751C">
      <w:pPr>
        <w:pStyle w:val="NormalWeb"/>
        <w:spacing w:line="240" w:lineRule="atLeast"/>
      </w:pPr>
    </w:p>
    <w:p w:rsidR="0000751C" w:rsidRDefault="0000751C" w:rsidP="0000751C">
      <w:pPr>
        <w:pStyle w:val="NormalWeb"/>
        <w:spacing w:line="240" w:lineRule="atLeast"/>
      </w:pPr>
      <w:r>
        <w:t xml:space="preserve">Expenses:  </w:t>
      </w:r>
    </w:p>
    <w:p w:rsidR="0000751C" w:rsidRPr="008941C0" w:rsidRDefault="0000751C" w:rsidP="0000751C">
      <w:pPr>
        <w:pStyle w:val="NormalWeb"/>
        <w:spacing w:line="240" w:lineRule="atLeast"/>
        <w:rPr>
          <w:color w:val="FF0000"/>
        </w:rPr>
      </w:pPr>
      <w:r>
        <w:tab/>
        <w:t xml:space="preserve">Line 15, Contributions, gifts, grants and similar amounts paid out </w:t>
      </w:r>
      <w:r w:rsidRPr="00C1434E">
        <w:rPr>
          <w:i/>
          <w:color w:val="FF0000"/>
        </w:rPr>
        <w:t xml:space="preserve">– </w:t>
      </w:r>
      <w:r w:rsidR="00C1434E" w:rsidRPr="00C1434E">
        <w:rPr>
          <w:i/>
          <w:color w:val="FF0000"/>
        </w:rPr>
        <w:t>[do we have any of this?]</w:t>
      </w:r>
      <w:r w:rsidR="00D87FFC" w:rsidRPr="00C1434E">
        <w:rPr>
          <w:i/>
          <w:color w:val="FF0000"/>
        </w:rPr>
        <w:t xml:space="preserve"> </w:t>
      </w:r>
      <w:r w:rsidR="00D87FFC">
        <w:t xml:space="preserve"> </w:t>
      </w:r>
      <w:r w:rsidR="00D87FFC" w:rsidRPr="008941C0">
        <w:rPr>
          <w:color w:val="FF0000"/>
        </w:rPr>
        <w:t>They are anticipated to total -0- in year 1, $</w:t>
      </w:r>
      <w:r w:rsidR="008941C0" w:rsidRPr="008941C0">
        <w:rPr>
          <w:color w:val="FF0000"/>
        </w:rPr>
        <w:t>xxx</w:t>
      </w:r>
      <w:r w:rsidR="00D87FFC" w:rsidRPr="008941C0">
        <w:rPr>
          <w:color w:val="FF0000"/>
        </w:rPr>
        <w:t xml:space="preserve"> in year 2, and $</w:t>
      </w:r>
      <w:r w:rsidR="008941C0" w:rsidRPr="008941C0">
        <w:rPr>
          <w:color w:val="FF0000"/>
        </w:rPr>
        <w:t>xxx</w:t>
      </w:r>
      <w:r w:rsidR="00D87FFC" w:rsidRPr="008941C0">
        <w:rPr>
          <w:color w:val="FF0000"/>
        </w:rPr>
        <w:t xml:space="preserve"> in year 3.</w:t>
      </w:r>
    </w:p>
    <w:p w:rsidR="0000751C" w:rsidRDefault="0000751C" w:rsidP="0000751C">
      <w:pPr>
        <w:pStyle w:val="NormalWeb"/>
        <w:spacing w:line="240" w:lineRule="atLeast"/>
      </w:pPr>
      <w:r>
        <w:tab/>
        <w:t xml:space="preserve">Line 23, Other expenses – this includes costs for computers, travel expense, food  and other costs related to activities of the </w:t>
      </w:r>
      <w:r w:rsidR="008941C0">
        <w:t>staff and BoD</w:t>
      </w:r>
      <w:r>
        <w:t xml:space="preserve"> as follows:</w:t>
      </w:r>
    </w:p>
    <w:p w:rsidR="00967375" w:rsidRDefault="00967375" w:rsidP="0000751C">
      <w:pPr>
        <w:pStyle w:val="NormalWeb"/>
        <w:spacing w:line="240" w:lineRule="atLeast"/>
      </w:pPr>
    </w:p>
    <w:p w:rsidR="00967375" w:rsidRDefault="00967375" w:rsidP="0000751C">
      <w:pPr>
        <w:pStyle w:val="NormalWeb"/>
        <w:spacing w:line="240" w:lineRule="atLeast"/>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454"/>
        <w:gridCol w:w="2454"/>
        <w:gridCol w:w="2454"/>
      </w:tblGrid>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Budget Item</w:t>
            </w:r>
          </w:p>
        </w:tc>
        <w:tc>
          <w:tcPr>
            <w:tcW w:w="2454" w:type="dxa"/>
          </w:tcPr>
          <w:p w:rsidR="00967375" w:rsidRPr="00FA03BF" w:rsidRDefault="00967375" w:rsidP="008E432F">
            <w:pPr>
              <w:pStyle w:val="NormalWeb"/>
              <w:spacing w:line="240" w:lineRule="atLeast"/>
              <w:rPr>
                <w:color w:val="FF0000"/>
              </w:rPr>
            </w:pPr>
            <w:r w:rsidRPr="00FA03BF">
              <w:rPr>
                <w:color w:val="FF0000"/>
              </w:rPr>
              <w:t>Year ending 6/30/16</w:t>
            </w:r>
          </w:p>
        </w:tc>
        <w:tc>
          <w:tcPr>
            <w:tcW w:w="2454" w:type="dxa"/>
          </w:tcPr>
          <w:p w:rsidR="00967375" w:rsidRPr="00FA03BF" w:rsidRDefault="00967375" w:rsidP="008E432F">
            <w:pPr>
              <w:pStyle w:val="NormalWeb"/>
              <w:spacing w:line="240" w:lineRule="atLeast"/>
              <w:rPr>
                <w:color w:val="FF0000"/>
              </w:rPr>
            </w:pPr>
            <w:r w:rsidRPr="00FA03BF">
              <w:rPr>
                <w:color w:val="FF0000"/>
              </w:rPr>
              <w:t>Year ending 6/30/17</w:t>
            </w:r>
          </w:p>
        </w:tc>
        <w:tc>
          <w:tcPr>
            <w:tcW w:w="2454" w:type="dxa"/>
          </w:tcPr>
          <w:p w:rsidR="00967375" w:rsidRPr="00FA03BF" w:rsidRDefault="00967375" w:rsidP="008E432F">
            <w:pPr>
              <w:pStyle w:val="NormalWeb"/>
              <w:spacing w:line="240" w:lineRule="atLeast"/>
              <w:rPr>
                <w:color w:val="FF0000"/>
              </w:rPr>
            </w:pPr>
            <w:r w:rsidRPr="00FA03BF">
              <w:rPr>
                <w:color w:val="FF0000"/>
              </w:rPr>
              <w:t>Year ending 6/30/18</w:t>
            </w:r>
          </w:p>
        </w:tc>
      </w:tr>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Computers and related equipment and programs</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  1,500</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1,000</w:t>
            </w:r>
          </w:p>
        </w:tc>
        <w:tc>
          <w:tcPr>
            <w:tcW w:w="2454" w:type="dxa"/>
          </w:tcPr>
          <w:p w:rsidR="00967375" w:rsidRPr="00FA03BF" w:rsidRDefault="00D87FFC" w:rsidP="008E432F">
            <w:pPr>
              <w:pStyle w:val="NormalWeb"/>
              <w:spacing w:line="240" w:lineRule="atLeast"/>
              <w:jc w:val="right"/>
              <w:rPr>
                <w:color w:val="FF0000"/>
              </w:rPr>
            </w:pPr>
            <w:r w:rsidRPr="00FA03BF">
              <w:rPr>
                <w:color w:val="FF0000"/>
              </w:rPr>
              <w:t>2,000</w:t>
            </w:r>
          </w:p>
        </w:tc>
      </w:tr>
      <w:tr w:rsidR="00FA03BF" w:rsidRPr="00FA03BF" w:rsidTr="008E432F">
        <w:tc>
          <w:tcPr>
            <w:tcW w:w="2214" w:type="dxa"/>
          </w:tcPr>
          <w:p w:rsidR="00967375" w:rsidRPr="00FA03BF" w:rsidRDefault="00967375" w:rsidP="008E432F">
            <w:pPr>
              <w:pStyle w:val="NormalWeb"/>
              <w:spacing w:line="240" w:lineRule="atLeast"/>
              <w:rPr>
                <w:color w:val="FF0000"/>
              </w:rPr>
            </w:pPr>
          </w:p>
        </w:tc>
        <w:tc>
          <w:tcPr>
            <w:tcW w:w="2454" w:type="dxa"/>
          </w:tcPr>
          <w:p w:rsidR="00967375" w:rsidRPr="00FA03BF" w:rsidRDefault="00967375" w:rsidP="008E432F">
            <w:pPr>
              <w:pStyle w:val="NormalWeb"/>
              <w:spacing w:line="240" w:lineRule="atLeast"/>
              <w:jc w:val="right"/>
              <w:rPr>
                <w:color w:val="FF0000"/>
              </w:rPr>
            </w:pPr>
          </w:p>
        </w:tc>
        <w:tc>
          <w:tcPr>
            <w:tcW w:w="2454" w:type="dxa"/>
          </w:tcPr>
          <w:p w:rsidR="00967375" w:rsidRPr="00FA03BF" w:rsidRDefault="00967375" w:rsidP="008E432F">
            <w:pPr>
              <w:pStyle w:val="NormalWeb"/>
              <w:spacing w:line="240" w:lineRule="atLeast"/>
              <w:jc w:val="right"/>
              <w:rPr>
                <w:color w:val="FF0000"/>
              </w:rPr>
            </w:pPr>
          </w:p>
        </w:tc>
        <w:tc>
          <w:tcPr>
            <w:tcW w:w="2454" w:type="dxa"/>
          </w:tcPr>
          <w:p w:rsidR="00967375" w:rsidRPr="00FA03BF" w:rsidRDefault="00967375" w:rsidP="008E432F">
            <w:pPr>
              <w:pStyle w:val="NormalWeb"/>
              <w:spacing w:line="240" w:lineRule="atLeast"/>
              <w:jc w:val="right"/>
              <w:rPr>
                <w:color w:val="FF0000"/>
              </w:rPr>
            </w:pPr>
          </w:p>
        </w:tc>
      </w:tr>
      <w:tr w:rsidR="00FA03BF" w:rsidRPr="00FA03BF" w:rsidTr="008E432F">
        <w:tc>
          <w:tcPr>
            <w:tcW w:w="2214" w:type="dxa"/>
          </w:tcPr>
          <w:p w:rsidR="00967375" w:rsidRPr="00FA03BF" w:rsidRDefault="00967375" w:rsidP="008E432F">
            <w:pPr>
              <w:pStyle w:val="NormalWeb"/>
              <w:spacing w:line="240" w:lineRule="atLeast"/>
              <w:rPr>
                <w:color w:val="FF0000"/>
              </w:rPr>
            </w:pPr>
          </w:p>
        </w:tc>
        <w:tc>
          <w:tcPr>
            <w:tcW w:w="2454" w:type="dxa"/>
          </w:tcPr>
          <w:p w:rsidR="00967375" w:rsidRPr="00FA03BF" w:rsidRDefault="00967375" w:rsidP="008E432F">
            <w:pPr>
              <w:pStyle w:val="NormalWeb"/>
              <w:spacing w:line="240" w:lineRule="atLeast"/>
              <w:jc w:val="right"/>
              <w:rPr>
                <w:color w:val="FF0000"/>
              </w:rPr>
            </w:pPr>
          </w:p>
        </w:tc>
        <w:tc>
          <w:tcPr>
            <w:tcW w:w="2454" w:type="dxa"/>
          </w:tcPr>
          <w:p w:rsidR="00967375" w:rsidRPr="00FA03BF" w:rsidRDefault="00967375" w:rsidP="008E432F">
            <w:pPr>
              <w:pStyle w:val="NormalWeb"/>
              <w:spacing w:line="240" w:lineRule="atLeast"/>
              <w:jc w:val="right"/>
              <w:rPr>
                <w:color w:val="FF0000"/>
              </w:rPr>
            </w:pPr>
          </w:p>
        </w:tc>
        <w:tc>
          <w:tcPr>
            <w:tcW w:w="2454" w:type="dxa"/>
          </w:tcPr>
          <w:p w:rsidR="00967375" w:rsidRPr="00FA03BF" w:rsidRDefault="00967375" w:rsidP="008E432F">
            <w:pPr>
              <w:pStyle w:val="NormalWeb"/>
              <w:spacing w:line="240" w:lineRule="atLeast"/>
              <w:jc w:val="right"/>
              <w:rPr>
                <w:color w:val="FF0000"/>
              </w:rPr>
            </w:pPr>
          </w:p>
        </w:tc>
      </w:tr>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Speakers/training resources</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1,000</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1,500</w:t>
            </w:r>
          </w:p>
        </w:tc>
        <w:tc>
          <w:tcPr>
            <w:tcW w:w="2454" w:type="dxa"/>
          </w:tcPr>
          <w:p w:rsidR="00967375" w:rsidRPr="00FA03BF" w:rsidRDefault="00D87FFC" w:rsidP="008E432F">
            <w:pPr>
              <w:pStyle w:val="NormalWeb"/>
              <w:spacing w:line="240" w:lineRule="atLeast"/>
              <w:jc w:val="right"/>
              <w:rPr>
                <w:color w:val="FF0000"/>
              </w:rPr>
            </w:pPr>
            <w:r w:rsidRPr="00FA03BF">
              <w:rPr>
                <w:color w:val="FF0000"/>
              </w:rPr>
              <w:t>2,000</w:t>
            </w:r>
          </w:p>
        </w:tc>
      </w:tr>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Travel expense *</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1,000</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1,000</w:t>
            </w:r>
          </w:p>
        </w:tc>
        <w:tc>
          <w:tcPr>
            <w:tcW w:w="2454" w:type="dxa"/>
          </w:tcPr>
          <w:p w:rsidR="00967375" w:rsidRPr="00FA03BF" w:rsidRDefault="00D87FFC" w:rsidP="008E432F">
            <w:pPr>
              <w:pStyle w:val="NormalWeb"/>
              <w:spacing w:line="240" w:lineRule="atLeast"/>
              <w:jc w:val="right"/>
              <w:rPr>
                <w:color w:val="FF0000"/>
              </w:rPr>
            </w:pPr>
            <w:r w:rsidRPr="00FA03BF">
              <w:rPr>
                <w:color w:val="FF0000"/>
              </w:rPr>
              <w:t>1,000</w:t>
            </w:r>
          </w:p>
        </w:tc>
      </w:tr>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Food, other supplies for meetings and events</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500</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1,200</w:t>
            </w:r>
          </w:p>
        </w:tc>
        <w:tc>
          <w:tcPr>
            <w:tcW w:w="2454" w:type="dxa"/>
          </w:tcPr>
          <w:p w:rsidR="00967375" w:rsidRPr="00FA03BF" w:rsidRDefault="00D87FFC" w:rsidP="008E432F">
            <w:pPr>
              <w:pStyle w:val="NormalWeb"/>
              <w:spacing w:line="240" w:lineRule="atLeast"/>
              <w:jc w:val="right"/>
              <w:rPr>
                <w:color w:val="FF0000"/>
              </w:rPr>
            </w:pPr>
            <w:r w:rsidRPr="00FA03BF">
              <w:rPr>
                <w:color w:val="FF0000"/>
              </w:rPr>
              <w:t>2,250</w:t>
            </w:r>
          </w:p>
        </w:tc>
      </w:tr>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Informational materials</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1,250</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1,500</w:t>
            </w:r>
          </w:p>
        </w:tc>
        <w:tc>
          <w:tcPr>
            <w:tcW w:w="2454" w:type="dxa"/>
          </w:tcPr>
          <w:p w:rsidR="00967375" w:rsidRPr="00FA03BF" w:rsidRDefault="00D87FFC" w:rsidP="008E432F">
            <w:pPr>
              <w:pStyle w:val="NormalWeb"/>
              <w:spacing w:line="240" w:lineRule="atLeast"/>
              <w:jc w:val="right"/>
              <w:rPr>
                <w:color w:val="FF0000"/>
              </w:rPr>
            </w:pPr>
            <w:r w:rsidRPr="00FA03BF">
              <w:rPr>
                <w:color w:val="FF0000"/>
              </w:rPr>
              <w:t>2,500</w:t>
            </w:r>
          </w:p>
        </w:tc>
      </w:tr>
      <w:tr w:rsidR="00FA03BF"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Postage/Delivery</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250</w:t>
            </w:r>
          </w:p>
        </w:tc>
        <w:tc>
          <w:tcPr>
            <w:tcW w:w="2454" w:type="dxa"/>
          </w:tcPr>
          <w:p w:rsidR="00967375" w:rsidRPr="00FA03BF" w:rsidRDefault="00967375" w:rsidP="008E432F">
            <w:pPr>
              <w:pStyle w:val="NormalWeb"/>
              <w:spacing w:line="240" w:lineRule="atLeast"/>
              <w:jc w:val="right"/>
              <w:rPr>
                <w:color w:val="FF0000"/>
              </w:rPr>
            </w:pPr>
            <w:r w:rsidRPr="00FA03BF">
              <w:rPr>
                <w:color w:val="FF0000"/>
              </w:rPr>
              <w:t>500</w:t>
            </w:r>
          </w:p>
        </w:tc>
        <w:tc>
          <w:tcPr>
            <w:tcW w:w="2454" w:type="dxa"/>
          </w:tcPr>
          <w:p w:rsidR="00967375" w:rsidRPr="00FA03BF" w:rsidRDefault="00D87FFC" w:rsidP="008E432F">
            <w:pPr>
              <w:pStyle w:val="NormalWeb"/>
              <w:spacing w:line="240" w:lineRule="atLeast"/>
              <w:jc w:val="right"/>
              <w:rPr>
                <w:color w:val="FF0000"/>
              </w:rPr>
            </w:pPr>
            <w:r w:rsidRPr="00FA03BF">
              <w:rPr>
                <w:color w:val="FF0000"/>
              </w:rPr>
              <w:t>750</w:t>
            </w:r>
          </w:p>
        </w:tc>
      </w:tr>
      <w:tr w:rsidR="00967375" w:rsidRPr="00FA03BF" w:rsidTr="008E432F">
        <w:tc>
          <w:tcPr>
            <w:tcW w:w="2214" w:type="dxa"/>
          </w:tcPr>
          <w:p w:rsidR="00967375" w:rsidRPr="00FA03BF" w:rsidRDefault="00967375" w:rsidP="008E432F">
            <w:pPr>
              <w:pStyle w:val="NormalWeb"/>
              <w:spacing w:line="240" w:lineRule="atLeast"/>
              <w:rPr>
                <w:color w:val="FF0000"/>
              </w:rPr>
            </w:pPr>
            <w:r w:rsidRPr="00FA03BF">
              <w:rPr>
                <w:color w:val="FF0000"/>
              </w:rPr>
              <w:t>Totals</w:t>
            </w:r>
          </w:p>
        </w:tc>
        <w:tc>
          <w:tcPr>
            <w:tcW w:w="2454" w:type="dxa"/>
          </w:tcPr>
          <w:p w:rsidR="00967375" w:rsidRPr="00FA03BF" w:rsidRDefault="008941C0" w:rsidP="008E432F">
            <w:pPr>
              <w:pStyle w:val="NormalWeb"/>
              <w:spacing w:line="240" w:lineRule="atLeast"/>
              <w:jc w:val="right"/>
              <w:rPr>
                <w:color w:val="FF0000"/>
              </w:rPr>
            </w:pPr>
            <w:r w:rsidRPr="00FA03BF">
              <w:rPr>
                <w:color w:val="FF0000"/>
              </w:rPr>
              <w:t>5,500</w:t>
            </w:r>
          </w:p>
        </w:tc>
        <w:tc>
          <w:tcPr>
            <w:tcW w:w="2454" w:type="dxa"/>
          </w:tcPr>
          <w:p w:rsidR="00967375" w:rsidRPr="00FA03BF" w:rsidRDefault="008941C0" w:rsidP="008E432F">
            <w:pPr>
              <w:pStyle w:val="NormalWeb"/>
              <w:spacing w:line="240" w:lineRule="atLeast"/>
              <w:jc w:val="right"/>
              <w:rPr>
                <w:color w:val="FF0000"/>
              </w:rPr>
            </w:pPr>
            <w:r w:rsidRPr="00FA03BF">
              <w:rPr>
                <w:color w:val="FF0000"/>
              </w:rPr>
              <w:t>6,700</w:t>
            </w:r>
          </w:p>
        </w:tc>
        <w:tc>
          <w:tcPr>
            <w:tcW w:w="2454" w:type="dxa"/>
          </w:tcPr>
          <w:p w:rsidR="00967375" w:rsidRPr="00FA03BF" w:rsidRDefault="008941C0" w:rsidP="008E432F">
            <w:pPr>
              <w:pStyle w:val="NormalWeb"/>
              <w:spacing w:line="240" w:lineRule="atLeast"/>
              <w:jc w:val="right"/>
              <w:rPr>
                <w:color w:val="FF0000"/>
              </w:rPr>
            </w:pPr>
            <w:r w:rsidRPr="00FA03BF">
              <w:rPr>
                <w:color w:val="FF0000"/>
              </w:rPr>
              <w:t>10</w:t>
            </w:r>
            <w:r w:rsidR="00D87FFC" w:rsidRPr="00FA03BF">
              <w:rPr>
                <w:color w:val="FF0000"/>
              </w:rPr>
              <w:t>,</w:t>
            </w:r>
            <w:r w:rsidRPr="00FA03BF">
              <w:rPr>
                <w:color w:val="FF0000"/>
              </w:rPr>
              <w:t>5</w:t>
            </w:r>
            <w:r w:rsidR="00D87FFC" w:rsidRPr="00FA03BF">
              <w:rPr>
                <w:color w:val="FF0000"/>
              </w:rPr>
              <w:t>00</w:t>
            </w:r>
          </w:p>
        </w:tc>
      </w:tr>
    </w:tbl>
    <w:p w:rsidR="00967375" w:rsidRPr="00FA03BF" w:rsidRDefault="00967375" w:rsidP="0000751C">
      <w:pPr>
        <w:pStyle w:val="NormalWeb"/>
        <w:spacing w:line="240" w:lineRule="atLeast"/>
        <w:rPr>
          <w:color w:val="FF0000"/>
        </w:rPr>
      </w:pPr>
    </w:p>
    <w:p w:rsidR="00967375" w:rsidRPr="00FA03BF" w:rsidRDefault="0000751C" w:rsidP="00D87FFC">
      <w:pPr>
        <w:pStyle w:val="NormalWeb"/>
        <w:spacing w:line="240" w:lineRule="atLeast"/>
        <w:rPr>
          <w:color w:val="FF0000"/>
        </w:rPr>
      </w:pPr>
      <w:r w:rsidRPr="00FA03BF">
        <w:rPr>
          <w:color w:val="FF0000"/>
        </w:rPr>
        <w:tab/>
      </w:r>
    </w:p>
    <w:p w:rsidR="007E5B6B" w:rsidRPr="00FA03BF" w:rsidRDefault="007E5B6B" w:rsidP="00720F56">
      <w:pPr>
        <w:pStyle w:val="NormalWeb"/>
        <w:spacing w:line="240" w:lineRule="atLeast"/>
        <w:rPr>
          <w:b/>
          <w:color w:val="FF0000"/>
        </w:rPr>
      </w:pPr>
    </w:p>
    <w:p w:rsidR="007E5B6B" w:rsidRPr="00FA03BF" w:rsidRDefault="007E5B6B" w:rsidP="00720F56">
      <w:pPr>
        <w:pStyle w:val="NormalWeb"/>
        <w:spacing w:line="240" w:lineRule="atLeast"/>
        <w:rPr>
          <w:color w:val="FF0000"/>
        </w:rPr>
      </w:pPr>
    </w:p>
    <w:p w:rsidR="0052043F" w:rsidRPr="00FA03BF" w:rsidRDefault="0052043F">
      <w:pPr>
        <w:rPr>
          <w:rFonts w:ascii="Times New Roman" w:hAnsi="Times New Roman"/>
          <w:b/>
          <w:color w:val="FF0000"/>
          <w:sz w:val="24"/>
          <w:szCs w:val="24"/>
        </w:rPr>
      </w:pPr>
    </w:p>
    <w:sectPr w:rsidR="0052043F" w:rsidRPr="00FA03BF" w:rsidSect="005122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D8B" w:rsidRDefault="00EA7D8B" w:rsidP="0052043F">
      <w:pPr>
        <w:spacing w:after="0" w:line="240" w:lineRule="auto"/>
      </w:pPr>
      <w:r>
        <w:separator/>
      </w:r>
    </w:p>
  </w:endnote>
  <w:endnote w:type="continuationSeparator" w:id="0">
    <w:p w:rsidR="00EA7D8B" w:rsidRDefault="00EA7D8B" w:rsidP="0052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2F" w:rsidRDefault="00CF1D4A" w:rsidP="008E432F">
    <w:pPr>
      <w:pStyle w:val="Footer"/>
      <w:jc w:val="center"/>
    </w:pPr>
    <w:r>
      <w:t xml:space="preserve">MyTakes EIN:   Form </w:t>
    </w:r>
    <w:r w:rsidR="008E432F">
      <w:t xml:space="preserve">1023 Attachment – Part IV, V, VI, VIII, XI                        </w:t>
    </w:r>
    <w:r w:rsidR="008E432F">
      <w:fldChar w:fldCharType="begin"/>
    </w:r>
    <w:r w:rsidR="008E432F">
      <w:instrText xml:space="preserve"> PAGE   \* MERGEFORMAT </w:instrText>
    </w:r>
    <w:r w:rsidR="008E432F">
      <w:fldChar w:fldCharType="separate"/>
    </w:r>
    <w:r w:rsidR="0091419A">
      <w:rPr>
        <w:noProof/>
      </w:rPr>
      <w:t>1</w:t>
    </w:r>
    <w:r w:rsidR="008E432F">
      <w:fldChar w:fldCharType="end"/>
    </w:r>
  </w:p>
  <w:p w:rsidR="0052043F" w:rsidRDefault="0052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D8B" w:rsidRDefault="00EA7D8B" w:rsidP="0052043F">
      <w:pPr>
        <w:spacing w:after="0" w:line="240" w:lineRule="auto"/>
      </w:pPr>
      <w:r>
        <w:separator/>
      </w:r>
    </w:p>
  </w:footnote>
  <w:footnote w:type="continuationSeparator" w:id="0">
    <w:p w:rsidR="00EA7D8B" w:rsidRDefault="00EA7D8B" w:rsidP="0052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E2B"/>
    <w:multiLevelType w:val="hybridMultilevel"/>
    <w:tmpl w:val="2A36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475"/>
    <w:multiLevelType w:val="hybridMultilevel"/>
    <w:tmpl w:val="9E768D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C678BE"/>
    <w:multiLevelType w:val="hybridMultilevel"/>
    <w:tmpl w:val="D2ACB4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6E62DDB"/>
    <w:multiLevelType w:val="hybridMultilevel"/>
    <w:tmpl w:val="A92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97550"/>
    <w:multiLevelType w:val="hybridMultilevel"/>
    <w:tmpl w:val="BC2E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7215C"/>
    <w:multiLevelType w:val="hybridMultilevel"/>
    <w:tmpl w:val="520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07562"/>
    <w:multiLevelType w:val="hybridMultilevel"/>
    <w:tmpl w:val="FC0A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35D7B"/>
    <w:multiLevelType w:val="hybridMultilevel"/>
    <w:tmpl w:val="28E2D46E"/>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468F227E"/>
    <w:multiLevelType w:val="hybridMultilevel"/>
    <w:tmpl w:val="7F6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0EE2"/>
    <w:multiLevelType w:val="hybridMultilevel"/>
    <w:tmpl w:val="5BE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654F2"/>
    <w:multiLevelType w:val="hybridMultilevel"/>
    <w:tmpl w:val="36B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17C2B"/>
    <w:multiLevelType w:val="hybridMultilevel"/>
    <w:tmpl w:val="F0B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11"/>
  </w:num>
  <w:num w:numId="8">
    <w:abstractNumId w:val="9"/>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43F"/>
    <w:rsid w:val="0000751C"/>
    <w:rsid w:val="00021AD3"/>
    <w:rsid w:val="00097913"/>
    <w:rsid w:val="000A3479"/>
    <w:rsid w:val="0018196D"/>
    <w:rsid w:val="0019565B"/>
    <w:rsid w:val="00207DB2"/>
    <w:rsid w:val="00227679"/>
    <w:rsid w:val="002A6BD4"/>
    <w:rsid w:val="002B5491"/>
    <w:rsid w:val="00326A2B"/>
    <w:rsid w:val="00374E7C"/>
    <w:rsid w:val="003B4CA9"/>
    <w:rsid w:val="004063EC"/>
    <w:rsid w:val="00434D34"/>
    <w:rsid w:val="004D4EAD"/>
    <w:rsid w:val="00512218"/>
    <w:rsid w:val="0052043F"/>
    <w:rsid w:val="00545020"/>
    <w:rsid w:val="005D6FAF"/>
    <w:rsid w:val="00634777"/>
    <w:rsid w:val="00660F22"/>
    <w:rsid w:val="006A6E19"/>
    <w:rsid w:val="006D0E7C"/>
    <w:rsid w:val="00710CC1"/>
    <w:rsid w:val="00720F56"/>
    <w:rsid w:val="00761270"/>
    <w:rsid w:val="007A12D0"/>
    <w:rsid w:val="007D39B1"/>
    <w:rsid w:val="007E5B6B"/>
    <w:rsid w:val="008941C0"/>
    <w:rsid w:val="008D2CBA"/>
    <w:rsid w:val="008E432F"/>
    <w:rsid w:val="00910797"/>
    <w:rsid w:val="0091419A"/>
    <w:rsid w:val="00967375"/>
    <w:rsid w:val="00993224"/>
    <w:rsid w:val="009C23A9"/>
    <w:rsid w:val="00AA7BFE"/>
    <w:rsid w:val="00BC4135"/>
    <w:rsid w:val="00C1434E"/>
    <w:rsid w:val="00C150C9"/>
    <w:rsid w:val="00CF1D4A"/>
    <w:rsid w:val="00D0019E"/>
    <w:rsid w:val="00D33C0A"/>
    <w:rsid w:val="00D87FFC"/>
    <w:rsid w:val="00DE31EA"/>
    <w:rsid w:val="00EA7D8B"/>
    <w:rsid w:val="00F35AA9"/>
    <w:rsid w:val="00F53EEA"/>
    <w:rsid w:val="00F83CCE"/>
    <w:rsid w:val="00FA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F46B3-925E-47DB-8CF5-DF9D6935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2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3F"/>
  </w:style>
  <w:style w:type="paragraph" w:styleId="Footer">
    <w:name w:val="footer"/>
    <w:basedOn w:val="Normal"/>
    <w:link w:val="FooterChar"/>
    <w:uiPriority w:val="99"/>
    <w:unhideWhenUsed/>
    <w:rsid w:val="0052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3F"/>
  </w:style>
  <w:style w:type="paragraph" w:styleId="NormalWeb">
    <w:name w:val="Normal (Web)"/>
    <w:basedOn w:val="Normal"/>
    <w:uiPriority w:val="99"/>
    <w:unhideWhenUsed/>
    <w:rsid w:val="0052043F"/>
    <w:pPr>
      <w:spacing w:after="0" w:line="240" w:lineRule="auto"/>
    </w:pPr>
    <w:rPr>
      <w:rFonts w:ascii="Times New Roman" w:eastAsia="Times New Roman" w:hAnsi="Times New Roman"/>
      <w:sz w:val="24"/>
      <w:szCs w:val="24"/>
    </w:rPr>
  </w:style>
  <w:style w:type="paragraph" w:styleId="NoSpacing">
    <w:name w:val="No Spacing"/>
    <w:link w:val="NoSpacingChar"/>
    <w:uiPriority w:val="1"/>
    <w:qFormat/>
    <w:rsid w:val="00326A2B"/>
    <w:rPr>
      <w:sz w:val="22"/>
      <w:szCs w:val="22"/>
    </w:rPr>
  </w:style>
  <w:style w:type="paragraph" w:styleId="ListParagraph">
    <w:name w:val="List Paragraph"/>
    <w:basedOn w:val="Normal"/>
    <w:uiPriority w:val="34"/>
    <w:qFormat/>
    <w:rsid w:val="00326A2B"/>
    <w:pPr>
      <w:spacing w:line="240" w:lineRule="auto"/>
      <w:ind w:left="720"/>
      <w:contextualSpacing/>
    </w:pPr>
  </w:style>
  <w:style w:type="character" w:customStyle="1" w:styleId="NoSpacingChar">
    <w:name w:val="No Spacing Char"/>
    <w:link w:val="NoSpacing"/>
    <w:uiPriority w:val="1"/>
    <w:rsid w:val="00326A2B"/>
    <w:rPr>
      <w:sz w:val="22"/>
      <w:szCs w:val="22"/>
      <w:lang w:val="en-US" w:eastAsia="en-US" w:bidi="ar-SA"/>
    </w:rPr>
  </w:style>
  <w:style w:type="table" w:styleId="TableGrid">
    <w:name w:val="Table Grid"/>
    <w:basedOn w:val="TableNormal"/>
    <w:uiPriority w:val="59"/>
    <w:rsid w:val="009673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Victoria Hattersley</cp:lastModifiedBy>
  <cp:revision>2</cp:revision>
  <cp:lastPrinted>2015-08-04T18:29:00Z</cp:lastPrinted>
  <dcterms:created xsi:type="dcterms:W3CDTF">2017-07-17T16:44:00Z</dcterms:created>
  <dcterms:modified xsi:type="dcterms:W3CDTF">2017-07-17T16:44:00Z</dcterms:modified>
</cp:coreProperties>
</file>