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the predictive model, expected growth means that students with a division or school made the same amount of growth as students with the average division or school in the Commonwealth for that same year, subject, and grade. The predictive model already uses prior test scores from different scales to calculate the expected score.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 Well Above indicates that the growth measure is two standard errors or more above expected</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growth (0). This level of certainty is significant evidence that students made more growth than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expected.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 Above indicates that the growth measure is at least one but less than two standard errors above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expected growth (0). This is moderate evidence that students made more growth than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expected.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Meets indicates that the growth measure is less than one standard error above expected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growth (0) but no more than two standard errors below expected growth (0). This is evidence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that students made growth as expected.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 Below indicates that the growth measure is more than one but no more than two standard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errors below expected growth (0). This is moderate evidence that students made less growth</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than expected.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 Well Below is an indication that the growth measure is less than or equal to two standard errors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below expected growth (0). This level of certainty is significant evidence that students made less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growth than expected.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