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Can’t really use linear regression for just teacher certification on growth.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anova, but data does not have normal distribution.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Kruskal-Wallis</w:t>
        </w:r>
      </w:hyperlink>
      <w:r w:rsidDel="00000000" w:rsidR="00000000" w:rsidRPr="00000000">
        <w:rPr>
          <w:rtl w:val="0"/>
        </w:rPr>
        <w:t xml:space="preserve"> test instead, got that certification type DOES have an affect on growth. (p=0.001737).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Basically, lets you do ANOVA but without normal distribution assumption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a significant difference b/w full &amp; micro and micro &amp; none, but not b/w full &amp; none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MATH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Used anova, but data does not have normal distribution.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Kruskal-Wallis</w:t>
        </w:r>
      </w:hyperlink>
      <w:r w:rsidDel="00000000" w:rsidR="00000000" w:rsidRPr="00000000">
        <w:rPr>
          <w:rtl w:val="0"/>
        </w:rPr>
        <w:t xml:space="preserve"> test instead, got that certification type DOES have an affect on growth. (p=7.508e-05).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There is a significant difference b/w full &amp; micro and full &amp; none, but not b/w micro &amp; none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brary.virginia.edu/data/articles/getting-started-with-the-kruskal-wallis-test" TargetMode="External"/><Relationship Id="rId7" Type="http://schemas.openxmlformats.org/officeDocument/2006/relationships/hyperlink" Target="https://library.virginia.edu/data/articles/getting-started-with-the-kruskal-wallis-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