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aim-1-metrics"/>
    <w:p>
      <w:pPr>
        <w:pStyle w:val="Heading1"/>
      </w:pPr>
      <w:r>
        <w:t xml:space="preserve">Aim 1 Metrics</w:t>
      </w:r>
    </w:p>
    <w:p>
      <w:pPr>
        <w:pStyle w:val="FirstParagraph"/>
      </w:pPr>
      <w:r>
        <w:t xml:space="preserve">All results: mean over 500 paired simulation repeats, 95% CI.</w:t>
      </w:r>
      <w:r>
        <w:t xml:space="preserve"> </w:t>
      </w:r>
      <w:r>
        <w:t xml:space="preserve">“</w:t>
      </w:r>
      <w:r>
        <w:t xml:space="preserve">Strong renal distortion</w:t>
      </w:r>
      <w:r>
        <w:t xml:space="preserve">”</w:t>
      </w:r>
      <w:r>
        <w:t xml:space="preserve"> </w:t>
      </w:r>
      <w:r>
        <w:t xml:space="preserve">= 1.5 SD.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Experiment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Measure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it’s Needed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Component necessity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K=1 false discovery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Whether the model invents endotypes that don’t exist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 cohorts with one homogeneous regime; count how often K=2 is selected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signature failure of subtyping papers, and the check the field routinely skips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Causal SCM 0/500 (0%) ✓ — Renal-adjusted 0/500 (0%) ✓ — Associative pooled 500/500 (100%) ✗ — median ΔBIC +27.3 vs −277.8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Accuracy comparison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Mechanism recovery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Top-rank accuracy against planted truth, strong renal distortion (1.5 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fitted model on held-out test set; measure portion of mechanism guesses correct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model must recover real structure, not just avoid inventing fake 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 pp from oracle ✓ — Causal 81.9% · Oracle 82.7% — Renal-adjusted 81.6% · Associative pooled 57.9%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Accuracy comparison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 atrial attribution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Proportion of renal-impaired, true-competing patients called atrial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Restrict to renal-impaired patients with Z=competing; measure portion assigned atrial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misclassification in the high-stakes clinical 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1.16 pp from oracle ✓ — Causal 18.5% · Oracle 17.3% — Renal-adjusted 19.7% · Associative pooled 76.0%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Accuracy comparison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Calibration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Whether stated confidence matches observed frequency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10-bin expected calibration error on posterior atrial probability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Miscalibration is how a</w:t>
            </w:r>
            <w:r>
              <w:t xml:space="preserve"> </w:t>
            </w:r>
            <w:r>
              <w:t xml:space="preserve">“</w:t>
            </w:r>
            <w:r>
              <w:t xml:space="preserve">good AUC</w:t>
            </w:r>
            <w:r>
              <w:t xml:space="preserve">”</w:t>
            </w:r>
            <w:r>
              <w:t xml:space="preserve"> </w:t>
            </w:r>
            <w:r>
              <w:t xml:space="preserve">model still harms patients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Causal 0.0450 [0.0431, 0.0470] ✓ — Oracle 0.0279 · Renal-adjusted 0.0467 ✓ — Associative pooled 0.3431 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 degradation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Performance lost when the environment changes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Accuracy at no shift minus accuracy at strong shift, held-out hospital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the model still functions in an environment it wasn’t trained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 pp from oracle ✓ — Modular −3.92 · Oracle −3.83 — Target-calib. −4.08 · Frozen −5.42 · Pooled-across-hospitals −6.86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Negative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 the causal machinery buys nothing when there is nothing to buy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Modular causal minus target-calibrated associative accuracy at no shift; equivalence test against a ±1.0 pp margin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Pre-empts</w:t>
            </w:r>
            <w:r>
              <w:t xml:space="preserve"> </w:t>
            </w:r>
            <w:r>
              <w:t xml:space="preserve">“</w:t>
            </w:r>
            <w:r>
              <w:t xml:space="preserve">your gain is just extra model flexibility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+0.299 pp [0.247, 0.351] — CI entirely inside the equivalence margin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Counterfactual simulation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Counterfactual increment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Whether the counterfactual query adds anything over the same-SCM posterior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 |counterfactual score − same-SCM posterior| across all repeats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Pre-empts the claim that the causal</w:t>
            </w:r>
            <w:r>
              <w:t xml:space="preserve"> </w:t>
            </w:r>
            <w:r>
              <w:rPr>
                <w:iCs/>
                <w:i/>
              </w:rPr>
              <w:t xml:space="preserve">query</w:t>
            </w:r>
            <w:r>
              <w:t xml:space="preserve">, rather than the structure, is doing the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≈7.8×10⁻¹⁶ — exactly zero increment. — In a symmetric K=2 model, normalized disablement and sufficiency are monotone transforms of the correctly specified posterior. A mathematical identity, not a null result.</w:t>
            </w:r>
          </w:p>
        </w:tc>
      </w:tr>
    </w:tbl>
    <w:p>
      <w:pPr>
        <w:pStyle w:val="BodyText"/>
      </w:pPr>
      <w:r>
        <w:rPr>
          <w:bCs/>
          <w:b/>
        </w:rPr>
        <w:t xml:space="preserve">Planned, not yet run:</w:t>
      </w:r>
      <w:r>
        <w:t xml:space="preserve"> </w:t>
      </w:r>
      <w:r>
        <w:t xml:space="preserve">clinical-rule benchmark, uncertainty coverage, selective risk.</w:t>
      </w:r>
    </w:p>
    <w:bookmarkEnd w:id="20"/>
    <w:sectPr>
      <w:pgSz w:h="12240" w:orient="landscape" w:w="15840"/>
      <w:pgMar w:bottom="720" w:footer="360" w:gutter="0" w:header="360" w:left="720" w:right="720" w:top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2026-08-11T21:29:49Z</dcterms:created>
  <dcterms:modified xsi:type="dcterms:W3CDTF">2026-08-11T21:29:49Z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