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m-1-metrics"/>
    <w:p>
      <w:pPr>
        <w:pStyle w:val="Heading1"/>
      </w:pPr>
      <w:r>
        <w:t xml:space="preserve">Aim 1 Metrics</w:t>
      </w:r>
    </w:p>
    <w:p>
      <w:pPr>
        <w:pStyle w:val="FirstParagraph"/>
        <w:spacing w:after="60"/>
      </w:pPr>
      <w:r>
        <w:rPr>
          <w:sz w:val="19"/>
        </w:rPr>
        <w:t>Computed results use 500 paired simulation repeats and 95% CIs. E3 results are at 1.50 SD renal distortion unless stated; E4 uses a held-out target hospital.</w:t>
      </w:r>
    </w:p>
    <w:p>
      <w:pPr>
        <w:pStyle w:val="FirstParagraph"/>
        <w:spacing w:after="100"/>
      </w:pPr>
      <w:r>
        <w:rPr>
          <w:sz w:val="19"/>
        </w:rPr>
        <w:t>Active experiments: E1 counterfactual, E3 unsupervised latent endotype discovery, and E4 transportability. Archived E2 supervised model-comparison metrics are excluded; locked provenance is unchanged.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/>
        </w:trPr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4472C4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Experiment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4472C4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4472C4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What it measures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4472C4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How to measure / success criterion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4472C4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Why it is needed</w:t>
            </w:r>
          </w:p>
        </w:tc>
        <w:tc>
          <w:tcPr>
            <w:tcW w:type="dxa" w:w="39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4472C4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Observed result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EAF2F8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E3 Endotype discovery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False endotype discovery (K=1 null)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Whether an unsupervised model invents endotypes in a homogeneous cohort.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500 K=1 cohorts at 1.50 SD renal distortion; select K by BIC. Criterion: false K=2 rate ≤5% and Wilson upper bound &lt;5%.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Directly tests the signature failure of latent subtyping.</w:t>
            </w:r>
          </w:p>
        </w:tc>
        <w:tc>
          <w:tcPr>
            <w:tcW w:type="dxa" w:w="39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Biologically constrained SCM 0/500 (0%), Wilson [0, 0.76%] ✓; renal-adjusted LCM 0/500 ✓; associative LCM 500/500 (100%) ✗.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EAF2F8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E3 Endotype discovery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ΔBIC (K=2 − K=1)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Strength and direction of evidence for one versus two endotypes under the K=1 null.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For each null cohort compute BIC(K=2) − BIC(K=1), then report the median. Positive favors K=1; negative favors K=2.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Separates model-selection evidence from the binary false-discovery rate.</w:t>
            </w:r>
          </w:p>
        </w:tc>
        <w:tc>
          <w:tcPr>
            <w:tcW w:type="dxa" w:w="39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Median ΔBIC: biologically constrained SCM +27.29 ✓; renal-adjusted LCM +27.67 ✓; associative LCM −277.84 ✗.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EAF2F8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E3 Endotype discovery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Mechanism recovery (accuracy)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Top-1 recovery of planted mechanism labels after unsupervised fitting.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Fit on n=800; score held-out n=1,000 only after fitting. Criterion: within 1.0 pp of the data-generating oracle.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Shows recovery of real structure, not only null-model restraint.</w:t>
            </w:r>
          </w:p>
        </w:tc>
        <w:tc>
          <w:tcPr>
            <w:tcW w:type="dxa" w:w="39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SCM 81.94% [81.81, 82.06]; oracle 82.70%; gap 0.76 pp ✓. Renal-adjusted 81.64%; associative 57.85%.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EAF2F8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E3 Endotype discovery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Partition agreement (ARI)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Label-invariant agreement between recovered and true partitions.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Adjusted Rand index on the held-out set. Criterion: within 0.03 of oracle.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Accuracy can be inflated by prevalence; ARI is clustering-native.</w:t>
            </w:r>
          </w:p>
        </w:tc>
        <w:tc>
          <w:tcPr>
            <w:tcW w:type="dxa" w:w="39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SCM 0.4082 [0.4050, 0.4115]; oracle 0.4279; gap 0.0197 ✓. Renal-adjusted 0.4008; associative 0.0377.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EAF2F8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E3 Endotype discovery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False atrial attribution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Renal-impaired, true-competing patients incorrectly assigned atrial.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Restrict to renal-impaired patients with competing-mechanism truth. Criterion: within 2 pp of oracle.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High-stakes clinical error rather than aggregate accuracy.</w:t>
            </w:r>
          </w:p>
        </w:tc>
        <w:tc>
          <w:tcPr>
            <w:tcW w:type="dxa" w:w="39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SCM 18.51% [17.92, 19.11]; oracle 17.35%; gap 1.16 pp ✓. Renal-adjusted 19.75%; associative 75.99%.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EAF2F8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E3 Endotype discovery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Probabilistic accuracy (Brier)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Accuracy of the posterior probability, not only its argmax.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Brier score for posterior atrial probability on held-out truth. Criterion: within 0.01 of oracle.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A subtype call requires a trustworthy probability.</w:t>
            </w:r>
          </w:p>
        </w:tc>
        <w:tc>
          <w:tcPr>
            <w:tcW w:type="dxa" w:w="39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SCM 0.1267 [0.1260, 0.1274]; oracle 0.1216; gap 0.0051 ✓. Renal-adjusted 0.1289; associative 0.3481.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EAF2F8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E3 Endotype discovery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Calibration (ECE)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Agreement between stated confidence and observed frequency.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Ten-bin expected calibration error for posterior atrial probability. Criterion: ECE ≤0.05.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Prevents confident but unreliable endotype assignments.</w:t>
            </w:r>
          </w:p>
        </w:tc>
        <w:tc>
          <w:tcPr>
            <w:tcW w:type="dxa" w:w="39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SCM 0.0450 [0.0431, 0.0470] ✓; oracle 0.0279; renal-adjusted 0.0467 ✓; associative 0.3431 ✗.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EAF2F8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E3 Endotype discovery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Prevalence bias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Distortion of the inferred atrial-endotype population share.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Predicted atrial prevalence versus true 50%. Criterion: absolute bias ≤2 pp.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Biased prevalence misstates trial-eligible population size.</w:t>
            </w:r>
          </w:p>
        </w:tc>
        <w:tc>
          <w:tcPr>
            <w:tcW w:type="dxa" w:w="39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SCM 50.06% (bias +0.06 pp) ✓; oracle 50.10%; renal-adjusted 50.13% ✓; associative 41.25% (−8.75 pp) ✗.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EAF2F8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E3 Endotype discovery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Renal-path parameter recovery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Recovery of the planted renal→NT-proBNP-like nuisance path.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Mean fitted-coefficient bias at 1.50 SD, in SD units. Criterion: |bias| ≤0.10 SD.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Tests mechanism-parameter recovery, not only assignments.</w:t>
            </w:r>
          </w:p>
        </w:tc>
        <w:tc>
          <w:tcPr>
            <w:tcW w:type="dxa" w:w="39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SCM bias −0.0060 SD ✓.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EAF2F8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E3 Endotype discovery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Fit integrity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Whether results rely on non-converged or degenerate latent fits.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EM convergence rate and minimum effective class fraction. Criteria: 100% and ≥0.02.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Rules out numerical failure as the source of apparent performance.</w:t>
            </w:r>
          </w:p>
        </w:tc>
        <w:tc>
          <w:tcPr>
            <w:tcW w:type="dxa" w:w="39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Convergence 100%; minimum effective class fraction 0.2519 ✓.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E4 Transportability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Transport degradation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Accuracy lost from no shift to strong target-hospital shift.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No-shift accuracy minus strong-shift accuracy in held-out target n=1,000. Criterion: within 1.0 pp of oracle degradation.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Measures robustness to a new deployment environment.</w:t>
            </w:r>
          </w:p>
        </w:tc>
        <w:tc>
          <w:tcPr>
            <w:tcW w:type="dxa" w:w="39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Modular SCM −3.92 pp [−4.01, −3.82]; oracle −3.83; gap 0.09 pp ✓. Target-calibrated −4.08; frozen −5.42; pooled −6.86.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E4 Transportability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Strong-shift accuracy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Absolute performance in the shifted target hospital.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Top-1 accuracy at strong shift. Criterion: within 1.0 pp of target oracle.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Degradation alone can hide a poor starting level.</w:t>
            </w:r>
          </w:p>
        </w:tc>
        <w:tc>
          <w:tcPr>
            <w:tcW w:type="dxa" w:w="39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Modular SCM 77.60%; oracle 78.07%; gap 0.47 pp ✓. Target-calibrated 77.14%; frozen 76.18%; pooled 73.37%.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E4 Transportability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Strong-shift calibration (ECE)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Whether posterior probabilities remain reliable under shift.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Ten-bin ECE in the strong-shift target. Criterion: ECE ≤0.05.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Calibration may fail before top-1 accuracy does.</w:t>
            </w:r>
          </w:p>
        </w:tc>
        <w:tc>
          <w:tcPr>
            <w:tcW w:type="dxa" w:w="39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Modular SCM 0.0416 ✓; oracle 0.0294; target-calibrated 0.0494 ✓; frozen 0.0662 ✗; pooled 0.0713 ✗.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E4 Transportability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False atrial attribution under shift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High-stakes subgroup error in an unfamiliar hospital.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Same subgroup definition as E3 at strong shift. Criterion: within 2 pp of target oracle.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Tests whether the clinically relevant error transports.</w:t>
            </w:r>
          </w:p>
        </w:tc>
        <w:tc>
          <w:tcPr>
            <w:tcW w:type="dxa" w:w="39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Modular SCM 22.52%; oracle 22.15%; gap 0.37 pp ✓. Target-calibrated 23.37%; frozen 36.60%; pooled 44.73%.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E2F0D9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E4 Transportability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No-shift equivalence control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Whether extra causal machinery adds apparent benefit when no benefit should exist.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Modular SCM minus target-calibrated associative accuracy; 95% CI must lie inside ±1.0 pp.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Guards against an extra-flexibility explanation.</w:t>
            </w:r>
          </w:p>
        </w:tc>
        <w:tc>
          <w:tcPr>
            <w:tcW w:type="dxa" w:w="39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+0.299 pp [0.247, 0.351]; CI entirely inside the equivalence margin ✓.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CE4D6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E1 Counterfactual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/>
                <w:sz w:val="15"/>
              </w:rPr>
              <w:t>Counterfactual increment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Difference between the counterfactual score and same-SCM posterior.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Maximum |counterfactual score − posterior| over 500 repeats. Criterion: numerical tolerance.</w:t>
            </w:r>
          </w:p>
        </w:tc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Separates the contribution of model structure from the query itself.</w:t>
            </w:r>
          </w:p>
        </w:tc>
        <w:tc>
          <w:tcPr>
            <w:tcW w:type="dxa" w:w="39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pStyle w:val="Compact"/>
              <w:spacing w:before="0" w:after="0" w:line="240" w:lineRule="auto"/>
              <w:jc w:val="left"/>
            </w:pPr>
            <w:r/>
            <w:r>
              <w:rPr>
                <w:b w:val="0"/>
                <w:sz w:val="15"/>
              </w:rPr>
              <w:t>≈7.77×10⁻¹⁶: zero beyond floating-point noise. In symmetric K=2, the scores are monotone transforms of the same posterior.</w:t>
            </w:r>
          </w:p>
        </w:tc>
      </w:tr>
    </w:tbl>
    <w:p>
      <w:pPr>
        <w:pStyle w:val="BodyText"/>
        <w:spacing w:before="100" w:after="0"/>
      </w:pPr>
      <w:r>
        <w:rPr>
          <w:b/>
          <w:sz w:val="17"/>
        </w:rPr>
        <w:t>Planned—not observed metrics: clinical-rule benchmark, uncertainty coverage, and selective risk. Do not report these as preliminary results until computed.</w:t>
      </w:r>
    </w:p>
    <w:bookmarkEnd w:id="20"/>
    <w:sectPr>
      <w:pgSz w:h="12240" w:orient="landscape" w:w="15840"/>
      <w:pgMar w:bottom="576" w:footer="360" w:gutter="0" w:header="360" w:left="648" w:right="648" w:top="57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TRACE-ESUS Aim 1 Metrics</dc:title>
  <dc:creator/>
  <cp:keywords/>
  <dcterms:created xsi:type="dcterms:W3CDTF">2026-08-11T21:29:49Z</dcterms:created>
  <dcterms:modified xsi:type="dcterms:W3CDTF">2026-08-11T21:29:49Z</dcterms:modified>
  <dc:subject>Retained unsupervised endotype discovery, transportability, and counterfactual metrics</dc:subject>
  <dc:description>Archived supervised E2 metrics excluded; values drawn from retained locked outputs.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