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</w:t>
            </w:r>
            <w:proofErr w:type="gramEnd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Готовый кейс в соответствии с </w:t>
      </w:r>
      <w:proofErr w:type="gramStart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вариантом  (</w:t>
      </w:r>
      <w:proofErr w:type="gramEnd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тыс.рублей</w:t>
      </w:r>
      <w:proofErr w:type="spellEnd"/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тыс.рублей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продаж,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Средняя цена внедрение системы машинного обучения для оптимизации полива,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организацию производства,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</w:rPr>
        <w:t>табл</w:t>
      </w:r>
      <w:proofErr w:type="spellEnd"/>
      <w:r>
        <w:rPr>
          <w:rFonts w:ascii="Times New Roman" w:hAnsi="Times New Roman" w:cs="Times New Roman"/>
          <w:color w:val="000000"/>
        </w:rPr>
        <w:t xml:space="preserve">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 xml:space="preserve">средней цены на рынке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proofErr w:type="spellEnd"/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Помимо этого, масштабирование подобных решений в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агросреде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Palatella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proofErr w:type="spellStart"/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стратегическое планирование водопользования должно предусматривать адаптивность к изменяющимся условиям, особенно в свете климатической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Erfani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59F03863" w14:textId="6B06A744" w:rsidR="00AD4FB9" w:rsidRPr="007E5F8B" w:rsidRDefault="005B203F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статье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Integrating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artificial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intelligence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Internet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of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Things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IoT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enhanced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crop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monitoring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management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precision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agriculture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D8087F"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Sharma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Shivandu</w:t>
      </w:r>
      <w:proofErr w:type="spellEnd"/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>, 2024)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детально описывается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и оценивается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несколько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>примеров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, использующих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технологии для усовершенствования контроля и качества работы “умных” ферм. </w:t>
      </w:r>
      <w:r w:rsidR="00AD4FB9" w:rsidRPr="007E5F8B">
        <w:rPr>
          <w:rFonts w:ascii="Times New Roman" w:hAnsi="Times New Roman" w:cs="Times New Roman"/>
          <w:color w:val="000000"/>
          <w:sz w:val="24"/>
          <w:szCs w:val="24"/>
        </w:rPr>
        <w:t>Как показывают современные исследовательские и пилотные кейсы, подобные проекты сопряжены с рядом системных трудностей, существенно влияющих на их инвестиционную привлекательность.</w:t>
      </w:r>
    </w:p>
    <w:p w14:paraId="6FB01F1B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1. Высокие капитальные затраты и барьеры входа</w:t>
      </w:r>
    </w:p>
    <w:p w14:paraId="52A63349" w14:textId="794BD130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Одной из главных особенностей подобных решений является высокая стоимость начального внедрения. В статье подробно описываются кейсы, такие как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PANTHEON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(SCADA-система для ореховых садов) и </w:t>
      </w:r>
      <w:proofErr w:type="spellStart"/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ByeLab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(мобильный роботизированный мониторинг), реализация которых требовала вложений в датчики, метеостанции, камеры, беспроводные сети, микроконтроллеры и интеллектуальные модули обработки данных. Особенно затратно — развертывание аппаратной и программной инфраструктуры на ранних этапах проекта, когда эффективность системы ещё не подтверждена эмпирически (стр. 6–8). Это существенно повышает инвестиционные риски, особенно для малого и среднего бизнеса.</w:t>
      </w:r>
    </w:p>
    <w:p w14:paraId="4D0A67B0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2. Неопределённость возврата инвестиций</w:t>
      </w:r>
    </w:p>
    <w:p w14:paraId="2338A18F" w14:textId="1882E431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Даже в успешно функционирующих пилотных проектах сохраняется существенная волатильность в ожидаемых выгодах. Например, в рамках проекта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PACMAN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>, направленного на прогноз урожайности в яблоневых садах, были зафиксированы значительные расхождения в точности моделей AI и практических результатах (стр. 6). Поскольку Такие расхождения делают затруднительной точную экстраполяцию будущих доходов и подрывают применимость классических моделей инвестиционного анализа, в частности метода NPV, который опирается на фиксированные и заранее известные потоки денежных средств. В этих условиях возрастает потребность в моделях, способных учитывать гибкость управления и многообразие сценариев.</w:t>
      </w:r>
    </w:p>
    <w:p w14:paraId="4E9A9D86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3. Зависимость от инфраструктурных факторов</w:t>
      </w:r>
    </w:p>
    <w:p w14:paraId="1C9A0ED3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Ключевым ограничением для многих сельских районов становится ненадёжная сетевой инфраструктура. В блоке 3.3 статьи подчёркивается, что низкое покрытие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Wi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-Fi,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ZigBee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мобильных сетей последнего поколения (5G) способно привести к перебоям в передаче данных, что критически снижает эффективность и достоверность мониторинга в реальном времени (стр. 4–5). Такие технологические сбои могут повлечь как прямые убытки (например,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недополив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перерасход воды), так и косвенные — снижение доверия к системе со стороны конечного пользователя.</w:t>
      </w:r>
    </w:p>
    <w:p w14:paraId="5D3772C4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4. Необходимость интеграции и масштабируемости</w:t>
      </w:r>
    </w:p>
    <w:p w14:paraId="333AB94C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Системы AI/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требуют скоординированной интеграции между различными компонентами — от сенсоров и исполнительных механизмов до серверных моделей и облачных платформ. Как подчёркивают авторы, при переходе от прототипа к промышленному масштабу растёт сложность программной архитектуры, необходимой для согласованной работы всех подсистем (стр. 6–9). Более того, готовые к эксплуатации решения, предлагаемые на рынке, как правило, значительно дороже, чем пилотные или модульные, что может стать ограничением для малых предприятий и ферм, не располагающих крупным инвестиционным бюджетом.</w:t>
      </w:r>
    </w:p>
    <w:p w14:paraId="6EE36841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lastRenderedPageBreak/>
        <w:t>5. Ценность поэтапной реализации и управленческой гибкости</w:t>
      </w:r>
    </w:p>
    <w:p w14:paraId="7FAA0781" w14:textId="1066709B" w:rsidR="00664FD5" w:rsidRDefault="00AD4FB9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условиях неопределённости и высокой капиталоёмкости критически важно применять стратегию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пошагового внедрения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. Это позволяет не только распределить инвестиционные затраты по времени, но и гибко адаптироваться к технологическим и рыночным изменениям. В статье описан пример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модульного подхода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: сначала разворачивается базовая система на основе датчиков влажности и простых ML-моделей, далее добавляются компоненты предиктивной аналитики, интеграция с метеоданными и механизмы автоматического управления клапанами (стр. 7). Такой поэтапный процесс снижает риски провала, и обеспечит раннюю валидацию. </w:t>
      </w:r>
    </w:p>
    <w:p w14:paraId="696BE72F" w14:textId="77777777" w:rsidR="000A67DC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7B97D" w14:textId="77777777" w:rsidR="000A67DC" w:rsidRPr="00AC33F3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3CD6A" w14:textId="1EA99992" w:rsidR="00365775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реальных опционов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обоснование для моего кейса (указать применимость по </w:t>
      </w:r>
      <w:proofErr w:type="spellStart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ваналогии</w:t>
      </w:r>
      <w:proofErr w:type="spellEnd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других кейсах)</w:t>
      </w:r>
    </w:p>
    <w:p w14:paraId="2FAF8E9F" w14:textId="77777777" w:rsidR="005E7D72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Proposed method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 xml:space="preserve"> (Datar Matthews)</w:t>
      </w:r>
    </w:p>
    <w:p w14:paraId="0AD1A717" w14:textId="60B650F6" w:rsidR="000E55C1" w:rsidRPr="005E7D72" w:rsidRDefault="000E55C1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Биномиальные деревья для оценки (разбиение по нескольким вариантам) или Монте-Карло</w:t>
      </w:r>
    </w:p>
    <w:p w14:paraId="3AD58F7A" w14:textId="77777777" w:rsid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Расчеты, оценка базового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NPV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построение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деревьев,Расчет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опционов при различных условиях</w:t>
      </w:r>
    </w:p>
    <w:p w14:paraId="2CDC2E85" w14:textId="07F6C869" w:rsidR="005E7D72" w:rsidRP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Формирование рекомендации с точки зрения 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инвестора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 </w:t>
      </w:r>
    </w:p>
    <w:p w14:paraId="5FD1562E" w14:textId="77777777" w:rsidR="00AC33F3" w:rsidRPr="005E7D72" w:rsidRDefault="00AC33F3" w:rsidP="00AC33F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2. Оценка эффективности инвестиций и анализ основных мотивов инвесторов //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Киберленинка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Экономическая эффективность технических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решений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учебное пособие / С. Г.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Баранчикова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 др.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] ;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под общ. ред. проф.  И. В. Ершовой. —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Екатеринбург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30F50" w14:textId="77777777" w:rsidR="00BD2790" w:rsidRDefault="00BD2790">
      <w:pPr>
        <w:spacing w:line="240" w:lineRule="auto"/>
      </w:pPr>
      <w:r>
        <w:separator/>
      </w:r>
    </w:p>
  </w:endnote>
  <w:endnote w:type="continuationSeparator" w:id="0">
    <w:p w14:paraId="55586DDD" w14:textId="77777777" w:rsidR="00BD2790" w:rsidRDefault="00BD2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31279" w14:textId="77777777" w:rsidR="00BD2790" w:rsidRDefault="00BD2790">
      <w:pPr>
        <w:spacing w:after="0"/>
      </w:pPr>
      <w:r>
        <w:separator/>
      </w:r>
    </w:p>
  </w:footnote>
  <w:footnote w:type="continuationSeparator" w:id="0">
    <w:p w14:paraId="1B06BC15" w14:textId="77777777" w:rsidR="00BD2790" w:rsidRDefault="00BD27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0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7"/>
  </w:num>
  <w:num w:numId="4" w16cid:durableId="1821539002">
    <w:abstractNumId w:val="17"/>
  </w:num>
  <w:num w:numId="5" w16cid:durableId="903763289">
    <w:abstractNumId w:val="5"/>
  </w:num>
  <w:num w:numId="6" w16cid:durableId="313919131">
    <w:abstractNumId w:val="25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9"/>
  </w:num>
  <w:num w:numId="11" w16cid:durableId="1694769676">
    <w:abstractNumId w:val="18"/>
  </w:num>
  <w:num w:numId="12" w16cid:durableId="99766483">
    <w:abstractNumId w:val="2"/>
  </w:num>
  <w:num w:numId="13" w16cid:durableId="1151407424">
    <w:abstractNumId w:val="28"/>
  </w:num>
  <w:num w:numId="14" w16cid:durableId="454102818">
    <w:abstractNumId w:val="19"/>
  </w:num>
  <w:num w:numId="15" w16cid:durableId="787164630">
    <w:abstractNumId w:val="26"/>
  </w:num>
  <w:num w:numId="16" w16cid:durableId="267548594">
    <w:abstractNumId w:val="20"/>
  </w:num>
  <w:num w:numId="17" w16cid:durableId="1964845934">
    <w:abstractNumId w:val="22"/>
  </w:num>
  <w:num w:numId="18" w16cid:durableId="1762096209">
    <w:abstractNumId w:val="30"/>
  </w:num>
  <w:num w:numId="19" w16cid:durableId="1375739473">
    <w:abstractNumId w:val="9"/>
  </w:num>
  <w:num w:numId="20" w16cid:durableId="1240482669">
    <w:abstractNumId w:val="24"/>
  </w:num>
  <w:num w:numId="21" w16cid:durableId="2124495112">
    <w:abstractNumId w:val="21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1"/>
  </w:num>
  <w:num w:numId="26" w16cid:durableId="793211597">
    <w:abstractNumId w:val="16"/>
  </w:num>
  <w:num w:numId="27" w16cid:durableId="1372727212">
    <w:abstractNumId w:val="23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  <w:num w:numId="32" w16cid:durableId="174321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67DC"/>
    <w:rsid w:val="000A7612"/>
    <w:rsid w:val="000B1991"/>
    <w:rsid w:val="000B6D5B"/>
    <w:rsid w:val="000B74EC"/>
    <w:rsid w:val="000B76B5"/>
    <w:rsid w:val="000C0E3F"/>
    <w:rsid w:val="000C3920"/>
    <w:rsid w:val="000C456D"/>
    <w:rsid w:val="000C64FD"/>
    <w:rsid w:val="000D1F07"/>
    <w:rsid w:val="000D5099"/>
    <w:rsid w:val="000E17A1"/>
    <w:rsid w:val="000E55C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1AD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76EC"/>
    <w:rsid w:val="003F2013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71B50"/>
    <w:rsid w:val="0048324A"/>
    <w:rsid w:val="00486E56"/>
    <w:rsid w:val="00490BD7"/>
    <w:rsid w:val="004B0C56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552A"/>
    <w:rsid w:val="004F7D03"/>
    <w:rsid w:val="005004D4"/>
    <w:rsid w:val="00500C9B"/>
    <w:rsid w:val="0050429F"/>
    <w:rsid w:val="005125A2"/>
    <w:rsid w:val="005201CC"/>
    <w:rsid w:val="00521E6D"/>
    <w:rsid w:val="00522E09"/>
    <w:rsid w:val="00531619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8244D"/>
    <w:rsid w:val="00595F4A"/>
    <w:rsid w:val="005A445E"/>
    <w:rsid w:val="005B203F"/>
    <w:rsid w:val="005B3051"/>
    <w:rsid w:val="005B3B10"/>
    <w:rsid w:val="005B76D7"/>
    <w:rsid w:val="005C7B83"/>
    <w:rsid w:val="005D003C"/>
    <w:rsid w:val="005D3CB2"/>
    <w:rsid w:val="005E068D"/>
    <w:rsid w:val="005E7D72"/>
    <w:rsid w:val="005F137B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D1094"/>
    <w:rsid w:val="007E0DB3"/>
    <w:rsid w:val="007E54A0"/>
    <w:rsid w:val="007E5F8B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D2E1E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3C8D"/>
    <w:rsid w:val="00946FDE"/>
    <w:rsid w:val="00952C78"/>
    <w:rsid w:val="00963463"/>
    <w:rsid w:val="00964073"/>
    <w:rsid w:val="00964A5E"/>
    <w:rsid w:val="00966EED"/>
    <w:rsid w:val="00981AD7"/>
    <w:rsid w:val="00991AA3"/>
    <w:rsid w:val="0099618C"/>
    <w:rsid w:val="009970D9"/>
    <w:rsid w:val="009974FB"/>
    <w:rsid w:val="009A7C29"/>
    <w:rsid w:val="009C466E"/>
    <w:rsid w:val="009C554A"/>
    <w:rsid w:val="009C5B4B"/>
    <w:rsid w:val="009E037D"/>
    <w:rsid w:val="009E4887"/>
    <w:rsid w:val="009F0410"/>
    <w:rsid w:val="009F11A0"/>
    <w:rsid w:val="009F20AF"/>
    <w:rsid w:val="00A0483A"/>
    <w:rsid w:val="00A1297E"/>
    <w:rsid w:val="00A23742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1431"/>
    <w:rsid w:val="00AB7AE4"/>
    <w:rsid w:val="00AB7C59"/>
    <w:rsid w:val="00AC33F3"/>
    <w:rsid w:val="00AD4FB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2790"/>
    <w:rsid w:val="00BD693E"/>
    <w:rsid w:val="00BD7A4E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327"/>
    <w:rsid w:val="00CC350E"/>
    <w:rsid w:val="00CD07A0"/>
    <w:rsid w:val="00CD283E"/>
    <w:rsid w:val="00CD4E36"/>
    <w:rsid w:val="00CD7EC4"/>
    <w:rsid w:val="00CE1D8E"/>
    <w:rsid w:val="00D00384"/>
    <w:rsid w:val="00D14A24"/>
    <w:rsid w:val="00D352EB"/>
    <w:rsid w:val="00D40214"/>
    <w:rsid w:val="00D4460A"/>
    <w:rsid w:val="00D57AFA"/>
    <w:rsid w:val="00D8087F"/>
    <w:rsid w:val="00D82170"/>
    <w:rsid w:val="00DA1076"/>
    <w:rsid w:val="00DA3489"/>
    <w:rsid w:val="00DA3BF8"/>
    <w:rsid w:val="00DB1B62"/>
    <w:rsid w:val="00DB785A"/>
    <w:rsid w:val="00DC7B2F"/>
    <w:rsid w:val="00DC7F9F"/>
    <w:rsid w:val="00DD2A73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11</cp:revision>
  <cp:lastPrinted>2024-02-13T07:36:00Z</cp:lastPrinted>
  <dcterms:created xsi:type="dcterms:W3CDTF">2025-05-16T05:16:00Z</dcterms:created>
  <dcterms:modified xsi:type="dcterms:W3CDTF">2025-05-18T14:03:00Z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