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Need2Done — Trade License &amp; Municipal Compliance Checklist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Jurisdiction:</w:t>
      </w:r>
      <w:r>
        <w:rPr>
          <w:color w:val="1E293B"/>
          <w:sz w:val="21"/>
        </w:rPr>
        <w:t xml:space="preserve"> Municipal Corporation / Urban Local Body (ULB) </w:t>
      </w:r>
      <w:r>
        <w:rPr>
          <w:b/>
          <w:color w:val="1E293B"/>
          <w:sz w:val="21"/>
        </w:rPr>
        <w:t>Industry Classification:</w:t>
      </w:r>
      <w:r>
        <w:rPr>
          <w:color w:val="1E293B"/>
          <w:sz w:val="21"/>
        </w:rPr>
        <w:t xml:space="preserve"> Technology Enabled Services (ITeS) / Hyperlocal Intermediary Office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1. Trade License Application Overview</w:t>
      </w:r>
    </w:p>
    <w:p>
      <w:pPr>
        <w:spacing w:after="120" w:line="276" w:lineRule="auto"/>
      </w:pPr>
      <w:r>
        <w:rPr>
          <w:color w:val="1E293B"/>
          <w:sz w:val="21"/>
        </w:rPr>
        <w:t xml:space="preserve">Need2Done operates as an online technology intermediary providing automated task routing and domestic service scheduling. The physical business location operates as an </w:t>
      </w:r>
      <w:r>
        <w:rPr>
          <w:b/>
          <w:color w:val="1E293B"/>
          <w:sz w:val="21"/>
        </w:rPr>
        <w:t>Administrative / Software Operating Office</w:t>
      </w:r>
      <w:r>
        <w:rPr>
          <w:color w:val="1E293B"/>
          <w:sz w:val="21"/>
        </w:rPr>
        <w:t xml:space="preserve"> coordinating digital orders.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2. Mandatory Statutory Documentation Checklist</w:t>
      </w:r>
    </w:p>
    <w:p>
      <w:pPr>
        <w:spacing w:before="200" w:after="60"/>
      </w:pPr>
      <w:r>
        <w:rPr>
          <w:b/>
          <w:color w:val="FF7D00"/>
          <w:sz w:val="24"/>
        </w:rPr>
        <w:t>A. Applicant &amp; Identity Proofs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PAN Card of Applicant / Proprietor</w:t>
      </w:r>
      <w:r>
        <w:rPr>
          <w:color w:val="1E293B"/>
          <w:sz w:val="21"/>
        </w:rPr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Aadhaar Card of Applicant / Proprietor</w:t>
      </w:r>
      <w:r>
        <w:rPr>
          <w:color w:val="1E293B"/>
          <w:sz w:val="21"/>
        </w:rPr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Passport Size Photographs (2 Copies)</w:t>
      </w:r>
      <w:r>
        <w:rPr>
          <w:color w:val="1E293B"/>
          <w:sz w:val="21"/>
        </w:rPr>
      </w:r>
    </w:p>
    <w:p>
      <w:pPr>
        <w:spacing w:before="200" w:after="60"/>
      </w:pPr>
      <w:r>
        <w:rPr>
          <w:b/>
          <w:color w:val="FF7D00"/>
          <w:sz w:val="24"/>
        </w:rPr>
        <w:t>B. Registered Office &amp; Premises Proof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Property Ownership Proof:</w:t>
      </w:r>
      <w:r>
        <w:rPr>
          <w:color w:val="1E293B"/>
          <w:sz w:val="21"/>
        </w:rPr>
        <w:t xml:space="preserve"> Electricity Bill / Property Tax Receipt (if owned).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Rental / Lease Agreement:</w:t>
      </w:r>
      <w:r>
        <w:rPr>
          <w:color w:val="1E293B"/>
          <w:sz w:val="21"/>
        </w:rPr>
        <w:t xml:space="preserve"> Valid registered lease deed (if rented).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Owner No-Objection Certificate (NOC):</w:t>
      </w:r>
      <w:r>
        <w:rPr>
          <w:color w:val="1E293B"/>
          <w:sz w:val="21"/>
        </w:rPr>
        <w:t xml:space="preserve"> Formally authorizing commercial administrative operations at the premises.</w:t>
      </w:r>
    </w:p>
    <w:p>
      <w:pPr>
        <w:spacing w:before="200" w:after="60"/>
      </w:pPr>
      <w:r>
        <w:rPr>
          <w:b/>
          <w:color w:val="FF7D00"/>
          <w:sz w:val="24"/>
        </w:rPr>
        <w:t>C. Business Registrations &amp; Tax Certifications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MSME (Udyam) Registration Certificate</w:t>
      </w:r>
      <w:r>
        <w:rPr>
          <w:color w:val="1E293B"/>
          <w:sz w:val="21"/>
        </w:rPr>
        <w:t xml:space="preserve"> (Under NIC 63112 / 63999 / 96099).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GST Registration Certificate</w:t>
      </w:r>
      <w:r>
        <w:rPr>
          <w:color w:val="1E293B"/>
          <w:sz w:val="21"/>
        </w:rPr>
        <w:t xml:space="preserve"> (For Intermediary Service Fees).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Shop &amp; Establishment Act Registration</w:t>
      </w:r>
      <w:r>
        <w:rPr>
          <w:color w:val="1E293B"/>
          <w:sz w:val="21"/>
        </w:rPr>
        <w:t xml:space="preserve"> (State Labor Department).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Bank Account Statement / Cancelled Cheque</w:t>
      </w:r>
      <w:r>
        <w:rPr>
          <w:color w:val="1E293B"/>
          <w:sz w:val="21"/>
        </w:rPr>
        <w:t xml:space="preserve"> in the legal business trade name.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3. Statutory Classification Details for Application Form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Nature of Business:</w:t>
      </w:r>
      <w:r>
        <w:rPr>
          <w:color w:val="1E293B"/>
          <w:sz w:val="21"/>
        </w:rPr>
        <w:t xml:space="preserve"> Software Administrative Office / Online Marketplace Intermediary.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Trade Category:</w:t>
      </w:r>
      <w:r>
        <w:rPr>
          <w:color w:val="1E293B"/>
          <w:sz w:val="21"/>
        </w:rPr>
        <w:t xml:space="preserve"> Non-hazardous Commercial Office / Information Technology Enabled Services (ITeS).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Power Connected / Machinery:</w:t>
      </w:r>
      <w:r>
        <w:rPr>
          <w:color w:val="1E293B"/>
          <w:sz w:val="21"/>
        </w:rPr>
        <w:t xml:space="preserve"> Commercial computers, server terminals, Wi-Fi routers (No industrial manufacturing or pollutant machinery).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Working Hours:</w:t>
      </w:r>
      <w:r>
        <w:rPr>
          <w:color w:val="1E293B"/>
          <w:sz w:val="21"/>
        </w:rPr>
        <w:t xml:space="preserve"> 24/7 Digital Operations; Office Operating Hours: 09:00 AM – 08:00 PM.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