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Trade License &amp; Business Registration Checklist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Need2Done Commercial Pre-Launch Protocol</w:t>
      </w:r>
      <w:r>
        <w:rPr>
          <w:color w:val="1E293B"/>
          <w:sz w:val="21"/>
        </w:rPr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Trade License Requirements (Municipal Corporation)</w:t>
      </w:r>
    </w:p>
    <w:p>
      <w:pPr>
        <w:spacing w:after="120" w:line="276" w:lineRule="auto"/>
      </w:pPr>
      <w:r>
        <w:rPr>
          <w:color w:val="1E293B"/>
          <w:sz w:val="21"/>
        </w:rPr>
        <w:t>A Trade License is mandatory to commercially operate a local delivery &amp; aggregator service office.</w:t>
      </w:r>
    </w:p>
    <w:p>
      <w:pPr>
        <w:spacing w:before="200" w:after="60"/>
      </w:pPr>
      <w:r>
        <w:rPr>
          <w:b/>
          <w:color w:val="FF7D00"/>
          <w:sz w:val="24"/>
        </w:rPr>
        <w:t>Required Documentation: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Lease / Rental Agreement</w:t>
      </w:r>
      <w:r>
        <w:rPr>
          <w:color w:val="1E293B"/>
          <w:sz w:val="21"/>
        </w:rPr>
        <w:t xml:space="preserve"> or Ownership Deed for office premises.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Electricity / Utility Bill</w:t>
      </w:r>
      <w:r>
        <w:rPr>
          <w:color w:val="1E293B"/>
          <w:sz w:val="21"/>
        </w:rPr>
        <w:t xml:space="preserve"> of the commercial premises (not older than 2 months).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NOC (No Objection Certificate)</w:t>
      </w:r>
      <w:r>
        <w:rPr>
          <w:color w:val="1E293B"/>
          <w:sz w:val="21"/>
        </w:rPr>
        <w:t xml:space="preserve"> from the premises owner / building association.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Premises Layout Plan / Floor Map</w:t>
      </w:r>
      <w:r>
        <w:rPr>
          <w:color w:val="1E293B"/>
          <w:sz w:val="21"/>
        </w:rPr>
        <w:t>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Fire Safety NOC</w:t>
      </w:r>
      <w:r>
        <w:rPr>
          <w:color w:val="1E293B"/>
          <w:sz w:val="21"/>
        </w:rPr>
        <w:t xml:space="preserve"> (if office / storage facility exceeds local municipal size threshold).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[ ] </w:t>
      </w:r>
      <w:r>
        <w:rPr>
          <w:b/>
          <w:color w:val="1E293B"/>
          <w:sz w:val="21"/>
        </w:rPr>
        <w:t>PAN Card of Company / Entity</w:t>
      </w:r>
      <w:r>
        <w:rPr>
          <w:color w:val="1E293B"/>
          <w:sz w:val="21"/>
        </w:rPr>
        <w:t xml:space="preserve"> and ID/Address proofs of all Directors / Partners.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Accompanying Legal &amp; Tax Registrations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Registration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Governing Authority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Purpose / Threshold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GST Registration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Central Board of Indirect Taxes and Customs (CBIC)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Intermediary commission charging, input tax credit, Razorpay gateway compliance.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Pending / In-Progress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MSME / Udyam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Ministry of MSME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Government subsidy, MSME dispute fast-track protection, startup recognition.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Recommended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Shop &amp; Establishment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State Labor Department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Commercial establishment registration, working hours &amp; employee rules.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Current Bank Account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Authorized Commercial Bank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Integration with Payment Gateway settlement escrow.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Active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